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5</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29</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735" w:type="pct"/>
        <w:tblInd w:w="0" w:type="dxa"/>
        <w:tblLayout w:type="fixed"/>
        <w:tblCellMar>
          <w:top w:w="0" w:type="dxa"/>
          <w:left w:w="108" w:type="dxa"/>
          <w:bottom w:w="0" w:type="dxa"/>
          <w:right w:w="108" w:type="dxa"/>
        </w:tblCellMar>
      </w:tblPr>
      <w:tblGrid>
        <w:gridCol w:w="1063"/>
        <w:gridCol w:w="1853"/>
        <w:gridCol w:w="1444"/>
        <w:gridCol w:w="1597"/>
        <w:gridCol w:w="1245"/>
        <w:gridCol w:w="1001"/>
        <w:gridCol w:w="1233"/>
      </w:tblGrid>
      <w:tr w14:paraId="4932B986">
        <w:tblPrEx>
          <w:tblCellMar>
            <w:top w:w="0" w:type="dxa"/>
            <w:left w:w="108" w:type="dxa"/>
            <w:bottom w:w="0" w:type="dxa"/>
            <w:right w:w="108" w:type="dxa"/>
          </w:tblCellMar>
        </w:tblPrEx>
        <w:trPr>
          <w:trHeight w:val="748" w:hRule="atLeast"/>
        </w:trPr>
        <w:tc>
          <w:tcPr>
            <w:tcW w:w="563" w:type="pct"/>
            <w:tcBorders>
              <w:top w:val="single" w:color="auto" w:sz="4" w:space="0"/>
              <w:left w:val="single" w:color="auto" w:sz="4" w:space="0"/>
              <w:bottom w:val="single" w:color="auto" w:sz="4" w:space="0"/>
              <w:right w:val="single" w:color="auto" w:sz="4" w:space="0"/>
            </w:tcBorders>
            <w:noWrap w:val="0"/>
            <w:vAlign w:val="center"/>
          </w:tcPr>
          <w:p w14:paraId="43EC16E7">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981" w:type="pct"/>
            <w:tcBorders>
              <w:top w:val="single" w:color="auto" w:sz="4" w:space="0"/>
              <w:left w:val="nil"/>
              <w:bottom w:val="single" w:color="auto" w:sz="4" w:space="0"/>
              <w:right w:val="single" w:color="auto" w:sz="4" w:space="0"/>
            </w:tcBorders>
            <w:noWrap w:val="0"/>
            <w:vAlign w:val="center"/>
          </w:tcPr>
          <w:p w14:paraId="6EA138C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765" w:type="pct"/>
            <w:tcBorders>
              <w:top w:val="single" w:color="auto" w:sz="4" w:space="0"/>
              <w:left w:val="nil"/>
              <w:bottom w:val="single" w:color="auto" w:sz="4" w:space="0"/>
              <w:right w:val="single" w:color="auto" w:sz="4" w:space="0"/>
            </w:tcBorders>
            <w:noWrap w:val="0"/>
            <w:vAlign w:val="center"/>
          </w:tcPr>
          <w:p w14:paraId="7E1D9292">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占地</w:t>
            </w:r>
            <w:r>
              <w:rPr>
                <w:rFonts w:hint="eastAsia" w:ascii="宋体" w:hAnsi="宋体" w:cs="宋体"/>
                <w:color w:val="000000"/>
                <w:kern w:val="0"/>
                <w:sz w:val="21"/>
                <w:szCs w:val="21"/>
                <w:highlight w:val="none"/>
              </w:rPr>
              <w:t>面积</w:t>
            </w:r>
            <w:r>
              <w:rPr>
                <w:rFonts w:hint="eastAsia" w:ascii="宋体" w:hAnsi="宋体" w:cs="宋体"/>
                <w:color w:val="000000"/>
                <w:kern w:val="0"/>
                <w:sz w:val="21"/>
                <w:szCs w:val="21"/>
                <w:highlight w:val="none"/>
                <w:lang w:val="en-US" w:eastAsia="zh-CN"/>
              </w:rPr>
              <w:t>约</w:t>
            </w:r>
          </w:p>
        </w:tc>
        <w:tc>
          <w:tcPr>
            <w:tcW w:w="846" w:type="pct"/>
            <w:tcBorders>
              <w:top w:val="single" w:color="auto" w:sz="4" w:space="0"/>
              <w:left w:val="nil"/>
              <w:bottom w:val="single" w:color="auto" w:sz="4" w:space="0"/>
              <w:right w:val="single" w:color="auto" w:sz="4" w:space="0"/>
            </w:tcBorders>
            <w:noWrap w:val="0"/>
            <w:vAlign w:val="center"/>
          </w:tcPr>
          <w:p w14:paraId="5E8E7002">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659" w:type="pct"/>
            <w:tcBorders>
              <w:top w:val="single" w:color="auto" w:sz="4" w:space="0"/>
              <w:left w:val="nil"/>
              <w:bottom w:val="single" w:color="auto" w:sz="4" w:space="0"/>
              <w:right w:val="single" w:color="auto" w:sz="4" w:space="0"/>
            </w:tcBorders>
            <w:noWrap w:val="0"/>
            <w:vAlign w:val="center"/>
          </w:tcPr>
          <w:p w14:paraId="7DFCE741">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530" w:type="pct"/>
            <w:tcBorders>
              <w:top w:val="single" w:color="auto" w:sz="4" w:space="0"/>
              <w:left w:val="nil"/>
              <w:bottom w:val="single" w:color="auto" w:sz="4" w:space="0"/>
              <w:right w:val="single" w:color="auto" w:sz="4" w:space="0"/>
            </w:tcBorders>
            <w:noWrap/>
            <w:vAlign w:val="center"/>
          </w:tcPr>
          <w:p w14:paraId="6D022E14">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租期</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eastAsia="zh-CN"/>
              </w:rPr>
              <w:t>）</w:t>
            </w:r>
          </w:p>
        </w:tc>
        <w:tc>
          <w:tcPr>
            <w:tcW w:w="653" w:type="pct"/>
            <w:tcBorders>
              <w:top w:val="single" w:color="auto" w:sz="4" w:space="0"/>
              <w:left w:val="nil"/>
              <w:bottom w:val="single" w:color="auto" w:sz="4" w:space="0"/>
              <w:right w:val="single" w:color="auto" w:sz="4" w:space="0"/>
            </w:tcBorders>
            <w:noWrap/>
            <w:vAlign w:val="center"/>
          </w:tcPr>
          <w:p w14:paraId="21919107">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522C154E">
        <w:tblPrEx>
          <w:tblCellMar>
            <w:top w:w="0" w:type="dxa"/>
            <w:left w:w="108" w:type="dxa"/>
            <w:bottom w:w="0" w:type="dxa"/>
            <w:right w:w="108" w:type="dxa"/>
          </w:tblCellMar>
        </w:tblPrEx>
        <w:trPr>
          <w:trHeight w:val="774" w:hRule="atLeast"/>
        </w:trPr>
        <w:tc>
          <w:tcPr>
            <w:tcW w:w="563" w:type="pct"/>
            <w:tcBorders>
              <w:left w:val="single" w:color="auto" w:sz="8" w:space="0"/>
              <w:bottom w:val="single" w:color="auto" w:sz="4" w:space="0"/>
              <w:right w:val="single" w:color="auto" w:sz="8" w:space="0"/>
            </w:tcBorders>
            <w:noWrap w:val="0"/>
            <w:vAlign w:val="center"/>
          </w:tcPr>
          <w:p w14:paraId="5352CC1B">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981" w:type="pct"/>
            <w:tcBorders>
              <w:top w:val="single" w:color="auto" w:sz="4" w:space="0"/>
              <w:left w:val="nil"/>
              <w:bottom w:val="single" w:color="auto" w:sz="4" w:space="0"/>
              <w:right w:val="single" w:color="auto" w:sz="8" w:space="0"/>
            </w:tcBorders>
            <w:noWrap w:val="0"/>
            <w:vAlign w:val="center"/>
          </w:tcPr>
          <w:p w14:paraId="3F6CB311">
            <w:pPr>
              <w:widowControl/>
              <w:jc w:val="center"/>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环城北路与大通南路交叉口北侧地块场地</w:t>
            </w:r>
          </w:p>
        </w:tc>
        <w:tc>
          <w:tcPr>
            <w:tcW w:w="765" w:type="pct"/>
            <w:tcBorders>
              <w:top w:val="single" w:color="auto" w:sz="4" w:space="0"/>
              <w:left w:val="nil"/>
              <w:bottom w:val="single" w:color="auto" w:sz="4" w:space="0"/>
              <w:right w:val="single" w:color="auto" w:sz="8" w:space="0"/>
            </w:tcBorders>
            <w:noWrap w:val="0"/>
            <w:vAlign w:val="center"/>
          </w:tcPr>
          <w:p w14:paraId="40F7996F">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4.6亩</w:t>
            </w:r>
          </w:p>
        </w:tc>
        <w:tc>
          <w:tcPr>
            <w:tcW w:w="846" w:type="pct"/>
            <w:tcBorders>
              <w:left w:val="nil"/>
              <w:bottom w:val="single" w:color="auto" w:sz="4" w:space="0"/>
              <w:right w:val="single" w:color="auto" w:sz="8" w:space="0"/>
            </w:tcBorders>
            <w:noWrap w:val="0"/>
            <w:vAlign w:val="center"/>
          </w:tcPr>
          <w:p w14:paraId="188EC16E">
            <w:pPr>
              <w:pStyle w:val="9"/>
              <w:shd w:val="clear" w:color="auto" w:fill="FFFFFF"/>
              <w:snapToGrid w:val="0"/>
              <w:spacing w:before="0" w:beforeAutospacing="0" w:after="0" w:afterAutospacing="0" w:line="320" w:lineRule="exact"/>
              <w:ind w:firstLine="210" w:firstLineChars="100"/>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174800</w:t>
            </w:r>
          </w:p>
        </w:tc>
        <w:tc>
          <w:tcPr>
            <w:tcW w:w="659" w:type="pct"/>
            <w:tcBorders>
              <w:left w:val="nil"/>
              <w:bottom w:val="single" w:color="auto" w:sz="4" w:space="0"/>
              <w:right w:val="nil"/>
            </w:tcBorders>
            <w:noWrap w:val="0"/>
            <w:vAlign w:val="center"/>
          </w:tcPr>
          <w:p w14:paraId="04FBEC70">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20000</w:t>
            </w:r>
          </w:p>
        </w:tc>
        <w:tc>
          <w:tcPr>
            <w:tcW w:w="530" w:type="pct"/>
            <w:tcBorders>
              <w:left w:val="single" w:color="auto" w:sz="4" w:space="0"/>
              <w:bottom w:val="single" w:color="auto" w:sz="4" w:space="0"/>
              <w:right w:val="single" w:color="auto" w:sz="4" w:space="0"/>
            </w:tcBorders>
            <w:noWrap w:val="0"/>
            <w:vAlign w:val="center"/>
          </w:tcPr>
          <w:p w14:paraId="576C09C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653" w:type="pct"/>
            <w:tcBorders>
              <w:left w:val="single" w:color="auto" w:sz="4" w:space="0"/>
              <w:bottom w:val="single" w:color="auto" w:sz="4" w:space="0"/>
              <w:right w:val="single" w:color="auto" w:sz="4" w:space="0"/>
            </w:tcBorders>
            <w:noWrap w:val="0"/>
            <w:vAlign w:val="center"/>
          </w:tcPr>
          <w:p w14:paraId="752AF7BD">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空置</w:t>
            </w:r>
          </w:p>
        </w:tc>
      </w:tr>
    </w:tbl>
    <w:p w14:paraId="6A4B725F">
      <w:pPr>
        <w:spacing w:line="420" w:lineRule="exact"/>
        <w:rPr>
          <w:rFonts w:hint="eastAsia" w:ascii="宋体" w:hAnsi="宋体"/>
          <w:b/>
          <w:color w:val="auto"/>
          <w:sz w:val="24"/>
          <w:szCs w:val="24"/>
        </w:rPr>
      </w:pPr>
    </w:p>
    <w:p w14:paraId="153BCBAB">
      <w:pPr>
        <w:spacing w:line="420" w:lineRule="exact"/>
        <w:ind w:firstLine="482" w:firstLineChars="200"/>
        <w:rPr>
          <w:rFonts w:hint="default" w:ascii="宋体" w:hAnsi="宋体"/>
          <w:b/>
          <w:bCs w:val="0"/>
          <w:color w:val="auto"/>
          <w:sz w:val="24"/>
          <w:szCs w:val="24"/>
          <w:lang w:val="en-US" w:eastAsia="zh-CN"/>
        </w:rPr>
      </w:pPr>
      <w:r>
        <w:rPr>
          <w:rFonts w:hint="eastAsia" w:ascii="宋体" w:hAnsi="宋体"/>
          <w:b/>
          <w:bCs w:val="0"/>
          <w:color w:val="auto"/>
          <w:sz w:val="24"/>
          <w:szCs w:val="24"/>
          <w:lang w:val="en-US" w:eastAsia="zh-CN"/>
        </w:rPr>
        <w:t>特别说明：</w:t>
      </w:r>
    </w:p>
    <w:p w14:paraId="3FEE4AE8">
      <w:pPr>
        <w:numPr>
          <w:ilvl w:val="0"/>
          <w:numId w:val="1"/>
        </w:numPr>
        <w:spacing w:line="360" w:lineRule="auto"/>
        <w:ind w:firstLine="482" w:firstLineChars="0"/>
        <w:rPr>
          <w:rFonts w:ascii="宋体" w:hAnsi="宋体" w:cs="宋体"/>
          <w:b/>
          <w:kern w:val="0"/>
          <w:sz w:val="24"/>
        </w:rPr>
      </w:pPr>
      <w:r>
        <w:rPr>
          <w:rFonts w:hint="eastAsia" w:ascii="宋体" w:hAnsi="宋体"/>
          <w:b/>
          <w:sz w:val="24"/>
        </w:rPr>
        <w:t>标</w:t>
      </w:r>
      <w:r>
        <w:rPr>
          <w:rFonts w:hint="eastAsia" w:ascii="宋体" w:hAnsi="宋体" w:cs="宋体"/>
          <w:b/>
          <w:sz w:val="24"/>
        </w:rPr>
        <w:t>的</w:t>
      </w:r>
      <w:r>
        <w:rPr>
          <w:rFonts w:hint="eastAsia" w:ascii="宋体" w:hAnsi="宋体"/>
          <w:b/>
          <w:sz w:val="24"/>
        </w:rPr>
        <w:t>不得存放易燃易爆品、灌装液体、危险化学品等;不得违反国家或当地政府环境质量要求产生噪音、废气、废水等污染物;不得在场地上放置渣土、建筑材料及搭建任何建筑物</w:t>
      </w:r>
      <w:r>
        <w:rPr>
          <w:rFonts w:hint="eastAsia" w:ascii="宋体" w:hAnsi="宋体"/>
          <w:b/>
          <w:sz w:val="24"/>
          <w:lang w:eastAsia="zh-CN"/>
        </w:rPr>
        <w:t>，不得在场地内进行机械设备及车辆维修、拆装;不得经营易燃易爆危化品和再生资源回收经营等影响周边环境的行业、扰民及违法、违规或违反公序良俗的经营活动，承租人在经营期间场地内的地面硬化、设施设备投入扩容等一切费用由承租人自行承担结算，合同到期时，场地内不可移动的投入归出租人所有。</w:t>
      </w:r>
      <w:r>
        <w:rPr>
          <w:rFonts w:hint="eastAsia" w:ascii="宋体" w:hAnsi="宋体" w:cs="宋体"/>
          <w:b/>
          <w:sz w:val="24"/>
        </w:rPr>
        <w:t>如发现违反该标的规定使用的，视为违约，委托人（出租人）有权无条件收回该标的，履约保证金不予退还</w:t>
      </w:r>
      <w:r>
        <w:rPr>
          <w:rFonts w:hint="eastAsia" w:ascii="宋体" w:hAnsi="宋体" w:cs="宋体"/>
          <w:b/>
          <w:sz w:val="24"/>
          <w:lang w:eastAsia="zh-CN"/>
        </w:rPr>
        <w:t>，</w:t>
      </w:r>
      <w:r>
        <w:rPr>
          <w:rFonts w:hint="eastAsia" w:ascii="宋体" w:hAnsi="宋体" w:cs="宋体"/>
          <w:b/>
          <w:sz w:val="24"/>
          <w:szCs w:val="24"/>
        </w:rPr>
        <w:t>买受人（承租人）还需承担相应的违约责任</w:t>
      </w:r>
      <w:r>
        <w:rPr>
          <w:rFonts w:hint="eastAsia" w:ascii="宋体" w:hAnsi="宋体"/>
          <w:b/>
          <w:sz w:val="24"/>
        </w:rPr>
        <w:t>租赁期间，若因</w:t>
      </w:r>
      <w:r>
        <w:rPr>
          <w:rFonts w:hint="eastAsia" w:ascii="宋体" w:hAnsi="宋体" w:cs="宋体"/>
          <w:b/>
          <w:sz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rPr>
        <w:t>，致使本合同不能履行时，</w:t>
      </w:r>
      <w:r>
        <w:rPr>
          <w:rFonts w:hint="eastAsia"/>
          <w:b/>
          <w:sz w:val="24"/>
        </w:rPr>
        <w:t>委托人（出租人）</w:t>
      </w:r>
      <w:r>
        <w:rPr>
          <w:rFonts w:hint="eastAsia" w:ascii="宋体" w:hAnsi="宋体"/>
          <w:b/>
          <w:sz w:val="24"/>
        </w:rPr>
        <w:t>提前二个月通知</w:t>
      </w:r>
      <w:r>
        <w:rPr>
          <w:rFonts w:hint="eastAsia" w:ascii="宋体" w:hAnsi="宋体" w:cs="宋体"/>
          <w:b/>
          <w:sz w:val="24"/>
        </w:rPr>
        <w:t>买受人（承租人）</w:t>
      </w:r>
      <w:r>
        <w:rPr>
          <w:rFonts w:hint="eastAsia" w:ascii="宋体" w:hAnsi="宋体"/>
          <w:b/>
          <w:sz w:val="24"/>
        </w:rPr>
        <w:t>，有权单方解除本合同，</w:t>
      </w:r>
      <w:r>
        <w:rPr>
          <w:rFonts w:hint="eastAsia" w:ascii="宋体" w:hAnsi="宋体" w:cs="宋体"/>
          <w:b/>
          <w:kern w:val="0"/>
          <w:sz w:val="24"/>
        </w:rPr>
        <w:t>收回租赁标的（租金按实结算），</w:t>
      </w:r>
      <w:r>
        <w:rPr>
          <w:rFonts w:hint="eastAsia" w:ascii="宋体" w:hAnsi="宋体" w:cs="宋体"/>
          <w:b/>
          <w:sz w:val="24"/>
        </w:rPr>
        <w:t>买受人（承租人）</w:t>
      </w:r>
      <w:r>
        <w:rPr>
          <w:rFonts w:hint="eastAsia" w:ascii="宋体" w:hAnsi="宋体" w:cs="宋体"/>
          <w:b/>
          <w:kern w:val="0"/>
          <w:sz w:val="24"/>
        </w:rPr>
        <w:t>必须无条件服从且不得向</w:t>
      </w:r>
      <w:r>
        <w:rPr>
          <w:rFonts w:hint="eastAsia"/>
          <w:b/>
          <w:sz w:val="24"/>
        </w:rPr>
        <w:t>委托人（出租人）</w:t>
      </w:r>
      <w:r>
        <w:rPr>
          <w:rFonts w:hint="eastAsia" w:ascii="宋体" w:hAnsi="宋体" w:cs="宋体"/>
          <w:b/>
          <w:kern w:val="0"/>
          <w:sz w:val="24"/>
        </w:rPr>
        <w:t>主张任何损失赔偿或补偿。</w:t>
      </w:r>
    </w:p>
    <w:p w14:paraId="5951197F">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339198F3">
      <w:pPr>
        <w:numPr>
          <w:ilvl w:val="0"/>
          <w:numId w:val="1"/>
        </w:numPr>
        <w:spacing w:line="360" w:lineRule="auto"/>
        <w:ind w:firstLine="482" w:firstLineChars="0"/>
        <w:rPr>
          <w:rFonts w:hint="eastAsia" w:ascii="宋体" w:hAnsi="宋体" w:cs="宋体"/>
          <w:b/>
          <w:kern w:val="0"/>
          <w:sz w:val="24"/>
          <w:lang w:val="en-US" w:eastAsia="zh-CN"/>
        </w:rPr>
      </w:pPr>
      <w:r>
        <w:rPr>
          <w:rFonts w:hint="eastAsia" w:ascii="宋体" w:hAnsi="宋体" w:cs="宋体"/>
          <w:b/>
          <w:kern w:val="0"/>
          <w:sz w:val="24"/>
          <w:lang w:val="en-US" w:eastAsia="zh-CN"/>
        </w:rPr>
        <w:t>竞买人须在看样期间对场地进行实地认真勘察，竞价成交后以实地现状为准进行移交，买受人不得以场地瑕疵等任何理由要求赔偿或拒绝交付，否则作违约处理。未按规定时间查看场地或未查看场地的，一切后果由竞买人自负。</w:t>
      </w:r>
    </w:p>
    <w:p w14:paraId="3B103829">
      <w:pPr>
        <w:numPr>
          <w:ilvl w:val="0"/>
          <w:numId w:val="1"/>
        </w:numPr>
        <w:spacing w:line="360" w:lineRule="auto"/>
        <w:ind w:firstLine="482" w:firstLineChars="0"/>
        <w:rPr>
          <w:rFonts w:hint="eastAsia" w:ascii="宋体" w:hAnsi="宋体" w:cs="宋体"/>
          <w:b/>
          <w:sz w:val="24"/>
          <w:lang w:val="en-US" w:eastAsia="zh-CN"/>
        </w:rPr>
      </w:pPr>
      <w:r>
        <w:rPr>
          <w:rFonts w:hint="eastAsia" w:ascii="宋体" w:hAnsi="宋体"/>
          <w:b/>
          <w:sz w:val="24"/>
        </w:rPr>
        <w:t>租赁期间，若因</w:t>
      </w:r>
      <w:r>
        <w:rPr>
          <w:rFonts w:hint="eastAsia" w:ascii="宋体" w:hAnsi="宋体" w:cs="宋体"/>
          <w:b/>
          <w:sz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rPr>
        <w:t>，致使本合同不能履行时，</w:t>
      </w:r>
      <w:r>
        <w:rPr>
          <w:rFonts w:hint="eastAsia"/>
          <w:b/>
          <w:sz w:val="24"/>
        </w:rPr>
        <w:t>委托人（出租人）</w:t>
      </w:r>
      <w:r>
        <w:rPr>
          <w:rFonts w:hint="eastAsia" w:ascii="宋体" w:hAnsi="宋体"/>
          <w:b/>
          <w:sz w:val="24"/>
        </w:rPr>
        <w:t>提前二个月通知</w:t>
      </w:r>
      <w:r>
        <w:rPr>
          <w:rFonts w:hint="eastAsia" w:ascii="宋体" w:hAnsi="宋体" w:cs="宋体"/>
          <w:b/>
          <w:sz w:val="24"/>
        </w:rPr>
        <w:t>买受人（承租人）</w:t>
      </w:r>
      <w:r>
        <w:rPr>
          <w:rFonts w:hint="eastAsia" w:ascii="宋体" w:hAnsi="宋体"/>
          <w:b/>
          <w:sz w:val="24"/>
        </w:rPr>
        <w:t>，有权单方解除本合同，</w:t>
      </w:r>
      <w:r>
        <w:rPr>
          <w:rFonts w:hint="eastAsia" w:ascii="宋体" w:hAnsi="宋体" w:cs="宋体"/>
          <w:b/>
          <w:kern w:val="0"/>
          <w:sz w:val="24"/>
        </w:rPr>
        <w:t>收回租赁标的（租金按实结算），</w:t>
      </w:r>
      <w:r>
        <w:rPr>
          <w:rFonts w:hint="eastAsia" w:ascii="宋体" w:hAnsi="宋体" w:cs="宋体"/>
          <w:b/>
          <w:sz w:val="24"/>
        </w:rPr>
        <w:t>买受人（承租人）</w:t>
      </w:r>
      <w:r>
        <w:rPr>
          <w:rFonts w:hint="eastAsia" w:ascii="宋体" w:hAnsi="宋体" w:cs="宋体"/>
          <w:b/>
          <w:kern w:val="0"/>
          <w:sz w:val="24"/>
        </w:rPr>
        <w:t>必须无条件服从且不得向</w:t>
      </w:r>
      <w:r>
        <w:rPr>
          <w:rFonts w:hint="eastAsia"/>
          <w:b/>
          <w:sz w:val="24"/>
        </w:rPr>
        <w:t>委托人（出租人）</w:t>
      </w:r>
      <w:r>
        <w:rPr>
          <w:rFonts w:hint="eastAsia" w:ascii="宋体" w:hAnsi="宋体" w:cs="宋体"/>
          <w:b/>
          <w:kern w:val="0"/>
          <w:sz w:val="24"/>
        </w:rPr>
        <w:t>主张任何损失赔偿或补偿。</w:t>
      </w:r>
    </w:p>
    <w:p w14:paraId="31D89D10">
      <w:pPr>
        <w:numPr>
          <w:ilvl w:val="0"/>
          <w:numId w:val="1"/>
        </w:numPr>
        <w:spacing w:line="360" w:lineRule="auto"/>
        <w:ind w:firstLine="482" w:firstLineChars="0"/>
        <w:rPr>
          <w:rFonts w:hint="eastAsia" w:ascii="宋体" w:hAnsi="宋体" w:cs="宋体"/>
          <w:b/>
          <w:sz w:val="24"/>
          <w:lang w:val="en-US" w:eastAsia="zh-CN"/>
        </w:rPr>
      </w:pPr>
      <w:r>
        <w:rPr>
          <w:rFonts w:hint="eastAsia" w:ascii="宋体" w:hAnsi="宋体" w:cs="宋体"/>
          <w:b/>
          <w:kern w:val="0"/>
          <w:sz w:val="24"/>
          <w:lang w:val="en-US" w:eastAsia="zh-CN"/>
        </w:rPr>
        <w:t>该场地进出口为静海路（原环城北路），静海路（原环城北路）道路为城区道路，车辆通行等相关政策要求</w:t>
      </w:r>
      <w:bookmarkStart w:id="0" w:name="_GoBack"/>
      <w:bookmarkEnd w:id="0"/>
      <w:r>
        <w:rPr>
          <w:rFonts w:hint="eastAsia" w:ascii="宋体" w:hAnsi="宋体" w:cs="宋体"/>
          <w:b/>
          <w:kern w:val="0"/>
          <w:sz w:val="24"/>
          <w:lang w:val="en-US" w:eastAsia="zh-CN"/>
        </w:rPr>
        <w:t>由竞买人自行咨询相关部门。</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eastAsia="宋体" w:cs="宋体"/>
          <w:color w:val="auto"/>
          <w:kern w:val="0"/>
          <w:sz w:val="24"/>
          <w:szCs w:val="24"/>
          <w:shd w:val="clear" w:color="auto" w:fill="FFFFFF"/>
        </w:rPr>
        <w:t>竞买人须为注册在宁波市内的独立企业法人（分公司不得参加）</w:t>
      </w:r>
      <w:r>
        <w:rPr>
          <w:rFonts w:hint="eastAsia" w:ascii="宋体" w:hAnsi="宋体" w:cs="宋体"/>
          <w:color w:val="auto"/>
          <w:kern w:val="0"/>
          <w:sz w:val="24"/>
          <w:szCs w:val="24"/>
          <w:shd w:val="clear" w:color="auto" w:fill="FFFFFF"/>
          <w:lang w:eastAsia="zh-CN"/>
        </w:rPr>
        <w:t>。</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28</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5</w:t>
      </w:r>
      <w:r>
        <w:rPr>
          <w:rFonts w:hint="eastAsia" w:ascii="宋体" w:hAnsi="宋体" w:eastAsia="宋体" w:cs="宋体"/>
          <w:color w:val="auto"/>
          <w:sz w:val="24"/>
        </w:rPr>
        <w:t>月</w:t>
      </w:r>
      <w:r>
        <w:rPr>
          <w:rFonts w:hint="eastAsia" w:ascii="宋体" w:hAnsi="宋体" w:cs="宋体"/>
          <w:color w:val="auto"/>
          <w:sz w:val="24"/>
          <w:lang w:val="en-US" w:eastAsia="zh-CN"/>
        </w:rPr>
        <w:t>28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28</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w:t>
      </w:r>
      <w:r>
        <w:rPr>
          <w:rFonts w:hint="eastAsia" w:ascii="宋体" w:hAnsi="宋体" w:cs="宋体"/>
          <w:color w:val="auto"/>
          <w:sz w:val="24"/>
          <w:szCs w:val="24"/>
          <w:lang w:val="en-US" w:eastAsia="zh-CN"/>
        </w:rPr>
        <w:t>土地</w:t>
      </w:r>
      <w:r>
        <w:rPr>
          <w:rFonts w:hint="eastAsia" w:ascii="宋体" w:hAnsi="宋体" w:eastAsia="宋体" w:cs="宋体"/>
          <w:color w:val="auto"/>
          <w:sz w:val="24"/>
          <w:szCs w:val="24"/>
        </w:rPr>
        <w:t>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b w:val="0"/>
          <w:bCs/>
          <w:color w:val="auto"/>
          <w:spacing w:val="-4"/>
          <w:sz w:val="24"/>
          <w:szCs w:val="24"/>
          <w:lang w:val="en-US" w:eastAsia="zh-CN"/>
        </w:rPr>
        <w:t>》，并于《</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b w:val="0"/>
          <w:bCs/>
          <w:color w:val="auto"/>
          <w:spacing w:val="-4"/>
          <w:sz w:val="24"/>
          <w:szCs w:val="24"/>
          <w:lang w:val="en-US" w:eastAsia="zh-CN"/>
        </w:rPr>
        <w:t>》签订之日起7个工作日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w:t>
      </w:r>
      <w:r>
        <w:rPr>
          <w:rFonts w:hint="eastAsia" w:ascii="宋体" w:hAnsi="宋体" w:eastAsia="宋体" w:cs="宋体"/>
          <w:color w:val="000000"/>
          <w:sz w:val="24"/>
          <w:szCs w:val="24"/>
          <w:lang w:eastAsia="zh-CN"/>
        </w:rPr>
        <w:t>（履约保证金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5万元</w:t>
      </w:r>
      <w:r>
        <w:rPr>
          <w:rFonts w:hint="eastAsia" w:ascii="宋体" w:hAnsi="宋体" w:eastAsia="宋体" w:cs="宋体"/>
          <w:color w:val="000000"/>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w:t>
      </w:r>
      <w:r>
        <w:rPr>
          <w:rFonts w:hint="eastAsia"/>
          <w:sz w:val="24"/>
          <w:u w:val="single"/>
          <w:lang w:eastAsia="zh-CN"/>
        </w:rPr>
        <w:t>宁波市镇海区城市物流开发有限公司</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sz w:val="24"/>
          <w:u w:val="single"/>
          <w:lang w:val="en-US" w:eastAsia="zh-CN"/>
        </w:rPr>
        <w:t>中国建设银行宁波市镇海区支行</w:t>
      </w:r>
      <w:r>
        <w:rPr>
          <w:rFonts w:hint="eastAsia" w:ascii="宋体" w:hAnsi="宋体" w:eastAsia="宋体" w:cs="宋体"/>
          <w:b w:val="0"/>
          <w:bCs/>
          <w:color w:val="auto"/>
          <w:spacing w:val="-4"/>
          <w:sz w:val="24"/>
          <w:szCs w:val="24"/>
          <w:lang w:eastAsia="zh-CN"/>
        </w:rPr>
        <w:t>，账号：</w:t>
      </w:r>
      <w:r>
        <w:rPr>
          <w:rFonts w:hint="eastAsia" w:ascii="宋体" w:hAnsi="宋体"/>
          <w:sz w:val="24"/>
          <w:u w:val="single"/>
          <w:lang w:val="en-US" w:eastAsia="zh-CN"/>
        </w:rPr>
        <w:t>33101984036050513724</w:t>
      </w:r>
      <w:r>
        <w:rPr>
          <w:rFonts w:hint="eastAsia" w:ascii="宋体" w:hAnsi="宋体" w:eastAsia="宋体" w:cs="宋体"/>
          <w:b w:val="0"/>
          <w:bCs/>
          <w:color w:val="auto"/>
          <w:spacing w:val="-4"/>
          <w:sz w:val="24"/>
          <w:szCs w:val="24"/>
          <w:lang w:eastAsia="zh-CN"/>
        </w:rPr>
        <w:t xml:space="preserve">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2、</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3、</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cs="宋体"/>
          <w:sz w:val="24"/>
          <w:szCs w:val="24"/>
          <w:lang w:eastAsia="zh-CN"/>
        </w:rPr>
        <w:t>》所有条款，并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w:t>
      </w:r>
      <w:r>
        <w:rPr>
          <w:rFonts w:hint="eastAsia" w:ascii="宋体" w:hAnsi="宋体" w:cs="宋体"/>
          <w:b/>
          <w:bCs w:val="0"/>
          <w:color w:val="auto"/>
          <w:kern w:val="2"/>
          <w:sz w:val="24"/>
          <w:szCs w:val="22"/>
          <w:lang w:val="en-US" w:eastAsia="zh-CN" w:bidi="ar-SA"/>
        </w:rPr>
        <w:t>土地</w:t>
      </w:r>
      <w:r>
        <w:rPr>
          <w:rFonts w:hint="eastAsia" w:ascii="宋体" w:hAnsi="宋体" w:eastAsia="宋体" w:cs="宋体"/>
          <w:b/>
          <w:bCs w:val="0"/>
          <w:color w:val="auto"/>
          <w:kern w:val="2"/>
          <w:sz w:val="24"/>
          <w:szCs w:val="22"/>
          <w:lang w:val="en-US" w:eastAsia="zh-CN" w:bidi="ar-SA"/>
        </w:rPr>
        <w:t>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cs="宋体"/>
          <w:b/>
          <w:bCs/>
          <w:sz w:val="24"/>
          <w:szCs w:val="24"/>
        </w:rPr>
        <w:t>《出租资产安全协议》</w:t>
      </w:r>
      <w:r>
        <w:rPr>
          <w:rFonts w:hint="eastAsia" w:ascii="宋体" w:hAnsi="宋体" w:cs="宋体"/>
          <w:b/>
          <w:bCs/>
          <w:sz w:val="24"/>
          <w:szCs w:val="24"/>
          <w:lang w:eastAsia="zh-CN"/>
        </w:rPr>
        <w:t>、</w:t>
      </w:r>
      <w:r>
        <w:rPr>
          <w:rFonts w:hint="eastAsia" w:ascii="宋体" w:hAnsi="宋体" w:cs="宋体"/>
          <w:b/>
          <w:bCs/>
          <w:sz w:val="24"/>
          <w:szCs w:val="24"/>
        </w:rPr>
        <w:t>《面积示意图》</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18</w:t>
      </w:r>
      <w:r>
        <w:rPr>
          <w:rFonts w:hint="eastAsia" w:ascii="宋体" w:hAnsi="宋体" w:eastAsia="宋体" w:cs="宋体"/>
          <w:color w:val="auto"/>
          <w:sz w:val="24"/>
          <w:szCs w:val="24"/>
        </w:rPr>
        <w:t>日</w:t>
      </w:r>
    </w:p>
    <w:p w14:paraId="5A2D1DB3">
      <w:pPr>
        <w:adjustRightInd w:val="0"/>
        <w:snapToGrid w:val="0"/>
        <w:spacing w:line="560" w:lineRule="exact"/>
        <w:ind w:firstLine="1280" w:firstLineChars="4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方正小标宋简体" w:hAnsi="方正小标宋简体" w:eastAsia="方正小标宋简体" w:cs="Helvetica"/>
          <w:bCs/>
          <w:sz w:val="44"/>
          <w:szCs w:val="44"/>
          <w:lang w:bidi="ar"/>
        </w:rPr>
        <w:t>房屋</w:t>
      </w:r>
      <w:r>
        <w:rPr>
          <w:rFonts w:hint="eastAsia" w:ascii="方正小标宋简体" w:hAnsi="方正小标宋简体" w:eastAsia="方正小标宋简体" w:cs="Helvetica"/>
          <w:bCs/>
          <w:sz w:val="44"/>
          <w:szCs w:val="44"/>
          <w:lang w:eastAsia="zh-CN" w:bidi="ar"/>
        </w:rPr>
        <w:t>（</w:t>
      </w:r>
      <w:r>
        <w:rPr>
          <w:rFonts w:hint="eastAsia" w:ascii="方正小标宋简体" w:hAnsi="方正小标宋简体" w:eastAsia="方正小标宋简体" w:cs="Helvetica"/>
          <w:bCs/>
          <w:sz w:val="44"/>
          <w:szCs w:val="44"/>
          <w:lang w:val="en-US" w:eastAsia="zh-CN" w:bidi="ar"/>
        </w:rPr>
        <w:t>土地</w:t>
      </w:r>
      <w:r>
        <w:rPr>
          <w:rFonts w:hint="eastAsia" w:ascii="方正小标宋简体" w:hAnsi="方正小标宋简体" w:eastAsia="方正小标宋简体" w:cs="Helvetica"/>
          <w:bCs/>
          <w:sz w:val="44"/>
          <w:szCs w:val="44"/>
          <w:lang w:eastAsia="zh-CN" w:bidi="ar"/>
        </w:rPr>
        <w:t>）</w:t>
      </w:r>
      <w:r>
        <w:rPr>
          <w:rFonts w:hint="eastAsia" w:ascii="方正小标宋简体" w:hAnsi="方正小标宋简体" w:eastAsia="方正小标宋简体" w:cs="Helvetica"/>
          <w:bCs/>
          <w:sz w:val="44"/>
          <w:szCs w:val="44"/>
          <w:lang w:bidi="ar"/>
        </w:rPr>
        <w:t>租赁合同</w:t>
      </w:r>
      <w:r>
        <w:rPr>
          <w:rFonts w:hint="eastAsia" w:ascii="仿宋_GB2312" w:hAnsi="仿宋_GB2312" w:eastAsia="仿宋_GB2312" w:cs="仿宋_GB2312"/>
          <w:sz w:val="32"/>
          <w:szCs w:val="32"/>
        </w:rPr>
        <w:t xml:space="preserve"> </w:t>
      </w:r>
    </w:p>
    <w:p w14:paraId="08E3636E">
      <w:pPr>
        <w:adjustRightInd w:val="0"/>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ascii="仿宋_GB2312" w:hAnsi="仿宋_GB2312" w:eastAsia="仿宋_GB2312" w:cs="仿宋_GB2312"/>
          <w:sz w:val="32"/>
          <w:szCs w:val="32"/>
        </w:rPr>
        <w:t>合同编号</w:t>
      </w:r>
      <w:r>
        <w:rPr>
          <w:rFonts w:hint="eastAsia" w:ascii="仿宋_GB2312" w:hAnsi="仿宋_GB2312" w:eastAsia="仿宋_GB2312" w:cs="仿宋_GB2312"/>
          <w:sz w:val="32"/>
          <w:szCs w:val="32"/>
        </w:rPr>
        <w:t xml:space="preserve">：     </w:t>
      </w:r>
    </w:p>
    <w:p w14:paraId="6B6A608E">
      <w:pPr>
        <w:adjustRightInd w:val="0"/>
        <w:snapToGrid w:val="0"/>
        <w:spacing w:line="560" w:lineRule="exact"/>
        <w:jc w:val="center"/>
        <w:rPr>
          <w:rFonts w:ascii="方正小标宋简体" w:hAnsi="方正小标宋简体" w:eastAsia="方正小标宋简体" w:cs="Helvetica"/>
          <w:bCs/>
          <w:sz w:val="44"/>
          <w:szCs w:val="44"/>
          <w:lang w:bidi="ar"/>
        </w:rPr>
      </w:pPr>
    </w:p>
    <w:p w14:paraId="29ACC8E5">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出租方：</w:t>
      </w:r>
      <w:r>
        <w:rPr>
          <w:rFonts w:hint="eastAsia" w:ascii="仿宋_GB2312" w:hAnsi="仿宋" w:eastAsia="仿宋_GB2312"/>
          <w:sz w:val="32"/>
          <w:szCs w:val="32"/>
          <w:u w:val="single"/>
          <w:lang w:val="en-US" w:eastAsia="zh-CN"/>
        </w:rPr>
        <w:t>宁波市镇海区城市物流开发有限公司</w:t>
      </w:r>
      <w:r>
        <w:rPr>
          <w:rFonts w:hint="eastAsia" w:ascii="仿宋_GB2312" w:hAnsi="仿宋" w:eastAsia="仿宋_GB2312"/>
          <w:sz w:val="32"/>
          <w:szCs w:val="32"/>
        </w:rPr>
        <w:t xml:space="preserve">                                 （以下简称甲方）</w:t>
      </w:r>
    </w:p>
    <w:p w14:paraId="156A1D03">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统一社会信用代码：913302</w:t>
      </w:r>
      <w:r>
        <w:rPr>
          <w:rFonts w:hint="eastAsia" w:ascii="仿宋_GB2312" w:hAnsi="仿宋" w:eastAsia="仿宋_GB2312"/>
          <w:sz w:val="32"/>
          <w:szCs w:val="32"/>
          <w:lang w:val="en-US" w:eastAsia="zh-CN"/>
        </w:rPr>
        <w:t>11309031622Y</w:t>
      </w:r>
      <w:r>
        <w:rPr>
          <w:rFonts w:hint="eastAsia" w:ascii="仿宋_GB2312" w:hAnsi="仿宋" w:eastAsia="仿宋_GB2312"/>
          <w:sz w:val="32"/>
          <w:szCs w:val="32"/>
        </w:rPr>
        <w:t xml:space="preserve">                       </w:t>
      </w:r>
    </w:p>
    <w:p w14:paraId="2CFE5FE2">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地址：宁波市镇海区平海路1188号。</w:t>
      </w:r>
    </w:p>
    <w:p w14:paraId="7D4768DE">
      <w:pPr>
        <w:adjustRightInd w:val="0"/>
        <w:snapToGrid w:val="0"/>
        <w:spacing w:line="560" w:lineRule="exact"/>
        <w:rPr>
          <w:rFonts w:hint="default" w:ascii="仿宋_GB2312" w:hAnsi="仿宋" w:eastAsia="仿宋_GB2312"/>
          <w:sz w:val="32"/>
          <w:szCs w:val="32"/>
          <w:lang w:val="en-US" w:eastAsia="zh-CN"/>
        </w:rPr>
      </w:pPr>
      <w:r>
        <w:rPr>
          <w:rFonts w:hint="eastAsia" w:ascii="仿宋_GB2312" w:hAnsi="仿宋" w:eastAsia="仿宋_GB2312"/>
          <w:sz w:val="32"/>
          <w:szCs w:val="32"/>
        </w:rPr>
        <w:t>联系电话：</w:t>
      </w:r>
      <w:r>
        <w:rPr>
          <w:rFonts w:hint="eastAsia" w:ascii="仿宋_GB2312" w:hAnsi="仿宋" w:eastAsia="仿宋_GB2312"/>
          <w:sz w:val="32"/>
          <w:szCs w:val="32"/>
          <w:lang w:val="en-US" w:eastAsia="zh-CN"/>
        </w:rPr>
        <w:t>86288970</w:t>
      </w:r>
    </w:p>
    <w:p w14:paraId="55D187C2">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4C7D389B">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（以下简称乙方）</w:t>
      </w:r>
    </w:p>
    <w:p w14:paraId="4FD23F01">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ascii="仿宋_GB2312" w:hAnsi="仿宋" w:eastAsia="仿宋_GB2312"/>
          <w:sz w:val="32"/>
          <w:szCs w:val="32"/>
        </w:rPr>
        <w:t>/</w:t>
      </w:r>
      <w:r>
        <w:rPr>
          <w:rFonts w:hint="eastAsia" w:ascii="仿宋_GB2312" w:hAnsi="仿宋" w:eastAsia="仿宋_GB2312"/>
          <w:sz w:val="32"/>
          <w:szCs w:val="32"/>
        </w:rPr>
        <w:t>(身份证号):</w:t>
      </w:r>
    </w:p>
    <w:p w14:paraId="7F85A872">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地址：宁波市镇海区定海路289号</w:t>
      </w:r>
    </w:p>
    <w:p w14:paraId="610AC604">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联系电话：</w:t>
      </w:r>
    </w:p>
    <w:p w14:paraId="225B50B9">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乙方根据</w:t>
      </w:r>
      <w:r>
        <w:rPr>
          <w:rFonts w:hint="eastAsia" w:ascii="仿宋_GB2312" w:hAnsi="仿宋" w:eastAsia="仿宋_GB2312"/>
          <w:sz w:val="32"/>
          <w:szCs w:val="32"/>
          <w:u w:val="single"/>
          <w:lang w:val="en-US" w:eastAsia="zh-CN"/>
        </w:rPr>
        <w:t xml:space="preserve">         </w:t>
      </w:r>
      <w:r>
        <w:rPr>
          <w:rFonts w:hint="eastAsia" w:ascii="仿宋_GB2312" w:hAnsi="仿宋" w:eastAsia="仿宋_GB2312"/>
          <w:sz w:val="32"/>
          <w:szCs w:val="32"/>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48502BF2">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第一条 资产基本情况</w:t>
      </w:r>
    </w:p>
    <w:p w14:paraId="4E5962FE">
      <w:pPr>
        <w:adjustRightInd w:val="0"/>
        <w:snapToGrid w:val="0"/>
        <w:spacing w:line="560" w:lineRule="exact"/>
        <w:ind w:left="420" w:firstLine="217" w:firstLineChars="68"/>
        <w:rPr>
          <w:rFonts w:ascii="仿宋_GB2312" w:hAnsi="仿宋" w:eastAsia="仿宋_GB2312"/>
          <w:sz w:val="32"/>
          <w:szCs w:val="32"/>
          <w:highlight w:val="none"/>
        </w:rPr>
      </w:pPr>
      <w:r>
        <w:rPr>
          <w:rFonts w:hint="eastAsia" w:ascii="仿宋_GB2312" w:hAnsi="仿宋" w:eastAsia="仿宋_GB2312"/>
          <w:sz w:val="32"/>
          <w:szCs w:val="32"/>
        </w:rPr>
        <w:t>（一）</w:t>
      </w:r>
      <w:r>
        <w:rPr>
          <w:rFonts w:hint="eastAsia" w:ascii="仿宋_GB2312" w:hAnsi="仿宋" w:eastAsia="仿宋_GB2312"/>
          <w:sz w:val="32"/>
          <w:szCs w:val="32"/>
          <w:highlight w:val="none"/>
        </w:rPr>
        <w:t>甲方拟出租资产坐落于</w:t>
      </w:r>
      <w:r>
        <w:rPr>
          <w:rFonts w:hint="eastAsia" w:ascii="仿宋_GB2312" w:hAnsi="仿宋" w:eastAsia="仿宋_GB2312"/>
          <w:color w:val="000000"/>
          <w:sz w:val="32"/>
          <w:szCs w:val="32"/>
          <w:highlight w:val="none"/>
          <w:u w:val="single"/>
          <w:lang w:val="en-US" w:eastAsia="zh-CN"/>
        </w:rPr>
        <w:t xml:space="preserve">        </w:t>
      </w:r>
      <w:r>
        <w:rPr>
          <w:rFonts w:hint="eastAsia" w:ascii="仿宋_GB2312" w:hAnsi="仿宋" w:eastAsia="仿宋_GB2312"/>
          <w:color w:val="000000"/>
          <w:sz w:val="32"/>
          <w:szCs w:val="32"/>
          <w:highlight w:val="none"/>
        </w:rPr>
        <w:t>，</w:t>
      </w:r>
      <w:r>
        <w:rPr>
          <w:rFonts w:hint="eastAsia" w:ascii="仿宋_GB2312" w:hAnsi="仿宋" w:eastAsia="仿宋_GB2312"/>
          <w:color w:val="000000"/>
          <w:sz w:val="32"/>
          <w:szCs w:val="32"/>
          <w:highlight w:val="none"/>
          <w:lang w:val="en-US" w:eastAsia="zh-CN"/>
        </w:rPr>
        <w:t>土地出租</w:t>
      </w:r>
      <w:r>
        <w:rPr>
          <w:rFonts w:hint="eastAsia" w:ascii="仿宋_GB2312" w:hAnsi="仿宋" w:eastAsia="仿宋_GB2312"/>
          <w:color w:val="000000"/>
          <w:sz w:val="32"/>
          <w:szCs w:val="32"/>
          <w:highlight w:val="none"/>
        </w:rPr>
        <w:t>面积</w:t>
      </w:r>
      <w:r>
        <w:rPr>
          <w:rFonts w:hint="eastAsia" w:ascii="仿宋_GB2312" w:hAnsi="仿宋" w:eastAsia="仿宋_GB2312"/>
          <w:color w:val="000000"/>
          <w:sz w:val="32"/>
          <w:szCs w:val="32"/>
          <w:highlight w:val="none"/>
          <w:lang w:val="en-US" w:eastAsia="zh-CN"/>
        </w:rPr>
        <w:t xml:space="preserve"> </w:t>
      </w:r>
      <w:r>
        <w:rPr>
          <w:rFonts w:hint="eastAsia" w:ascii="仿宋_GB2312" w:hAnsi="仿宋" w:eastAsia="仿宋_GB2312"/>
          <w:color w:val="000000"/>
          <w:sz w:val="32"/>
          <w:szCs w:val="32"/>
          <w:highlight w:val="none"/>
          <w:u w:val="single"/>
        </w:rPr>
        <w:t xml:space="preserve"> </w:t>
      </w:r>
      <w:r>
        <w:rPr>
          <w:rFonts w:hint="eastAsia" w:ascii="仿宋_GB2312" w:hAnsi="仿宋" w:eastAsia="仿宋_GB2312"/>
          <w:color w:val="000000"/>
          <w:sz w:val="32"/>
          <w:szCs w:val="32"/>
          <w:highlight w:val="none"/>
          <w:u w:val="single"/>
          <w:lang w:val="en-US" w:eastAsia="zh-CN"/>
        </w:rPr>
        <w:t xml:space="preserve">   </w:t>
      </w:r>
      <w:r>
        <w:rPr>
          <w:rFonts w:hint="eastAsia" w:ascii="仿宋_GB2312" w:hAnsi="仿宋" w:eastAsia="仿宋_GB2312"/>
          <w:color w:val="000000"/>
          <w:sz w:val="32"/>
          <w:szCs w:val="32"/>
          <w:highlight w:val="none"/>
        </w:rPr>
        <w:t>平</w:t>
      </w:r>
      <w:r>
        <w:rPr>
          <w:rFonts w:hint="eastAsia" w:ascii="仿宋_GB2312" w:hAnsi="仿宋" w:eastAsia="仿宋_GB2312"/>
          <w:sz w:val="32"/>
          <w:szCs w:val="32"/>
          <w:highlight w:val="none"/>
        </w:rPr>
        <w:t>方米</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lang w:val="en-US" w:eastAsia="zh-CN"/>
        </w:rPr>
        <w:t>建筑出租</w:t>
      </w:r>
      <w:r>
        <w:rPr>
          <w:rFonts w:hint="eastAsia" w:ascii="仿宋_GB2312" w:hAnsi="仿宋" w:eastAsia="仿宋_GB2312"/>
          <w:color w:val="000000"/>
          <w:sz w:val="32"/>
          <w:szCs w:val="32"/>
          <w:highlight w:val="none"/>
        </w:rPr>
        <w:t>面积</w:t>
      </w:r>
      <w:r>
        <w:rPr>
          <w:rFonts w:hint="eastAsia" w:ascii="仿宋_GB2312" w:hAnsi="仿宋" w:eastAsia="仿宋_GB2312"/>
          <w:color w:val="000000"/>
          <w:sz w:val="32"/>
          <w:szCs w:val="32"/>
          <w:highlight w:val="none"/>
          <w:lang w:val="en-US" w:eastAsia="zh-CN"/>
        </w:rPr>
        <w:t xml:space="preserve"> </w:t>
      </w:r>
      <w:r>
        <w:rPr>
          <w:rFonts w:hint="eastAsia" w:ascii="仿宋_GB2312" w:hAnsi="仿宋" w:eastAsia="仿宋_GB2312"/>
          <w:color w:val="000000"/>
          <w:sz w:val="32"/>
          <w:szCs w:val="32"/>
          <w:highlight w:val="none"/>
          <w:u w:val="single"/>
        </w:rPr>
        <w:t xml:space="preserve"> </w:t>
      </w:r>
      <w:r>
        <w:rPr>
          <w:rFonts w:hint="eastAsia" w:ascii="仿宋_GB2312" w:hAnsi="仿宋" w:eastAsia="仿宋_GB2312"/>
          <w:color w:val="000000"/>
          <w:sz w:val="32"/>
          <w:szCs w:val="32"/>
          <w:highlight w:val="none"/>
          <w:u w:val="single"/>
          <w:lang w:val="en-US" w:eastAsia="zh-CN"/>
        </w:rPr>
        <w:t xml:space="preserve">   </w:t>
      </w:r>
      <w:r>
        <w:rPr>
          <w:rFonts w:hint="eastAsia" w:ascii="仿宋_GB2312" w:hAnsi="仿宋" w:eastAsia="仿宋_GB2312"/>
          <w:color w:val="000000"/>
          <w:sz w:val="32"/>
          <w:szCs w:val="32"/>
          <w:highlight w:val="none"/>
        </w:rPr>
        <w:t>平</w:t>
      </w:r>
      <w:r>
        <w:rPr>
          <w:rFonts w:hint="eastAsia" w:ascii="仿宋_GB2312" w:hAnsi="仿宋" w:eastAsia="仿宋_GB2312"/>
          <w:sz w:val="32"/>
          <w:szCs w:val="32"/>
          <w:highlight w:val="none"/>
        </w:rPr>
        <w:t>方米</w:t>
      </w:r>
      <w:r>
        <w:rPr>
          <w:rFonts w:hint="eastAsia" w:ascii="仿宋_GB2312" w:hAnsi="仿宋" w:eastAsia="仿宋_GB2312"/>
          <w:color w:val="000000"/>
          <w:sz w:val="32"/>
          <w:szCs w:val="32"/>
          <w:highlight w:val="none"/>
        </w:rPr>
        <w:t>；</w:t>
      </w:r>
    </w:p>
    <w:p w14:paraId="1CB59437">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（二）装修、设备情况：</w:t>
      </w:r>
    </w:p>
    <w:p w14:paraId="1A43DE59">
      <w:pPr>
        <w:adjustRightInd w:val="0"/>
        <w:snapToGrid w:val="0"/>
        <w:spacing w:line="560" w:lineRule="exact"/>
        <w:ind w:firstLine="640" w:firstLineChars="200"/>
        <w:rPr>
          <w:rFonts w:ascii="仿宋_GB2312" w:hAnsi="仿宋" w:eastAsia="仿宋_GB2312"/>
          <w:sz w:val="32"/>
          <w:szCs w:val="32"/>
          <w:u w:val="single"/>
        </w:rPr>
      </w:pP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sz w:val="32"/>
          <w:szCs w:val="32"/>
          <w:u w:val="single"/>
        </w:rPr>
        <w:t xml:space="preserve">                                          </w:t>
      </w:r>
    </w:p>
    <w:p w14:paraId="7B53F1F4">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（三）甲方已明确告知该房屋(土地)的性质、产权问题、用途等相关情况且乙方对甲方上述出租的资产作了充分的了解且明确认可。</w:t>
      </w:r>
    </w:p>
    <w:p w14:paraId="15366FD4">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6DC112AF">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第二条 资产用途</w:t>
      </w:r>
    </w:p>
    <w:p w14:paraId="777CB23D">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乙方向甲方承诺，租赁该资产仅作为</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sz w:val="32"/>
          <w:szCs w:val="32"/>
        </w:rPr>
        <w:t>使用。除双方另有约定外，乙方不得随意改变资产用途。</w:t>
      </w:r>
    </w:p>
    <w:p w14:paraId="2D49CA8B">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第三条 租赁期限</w:t>
      </w:r>
    </w:p>
    <w:p w14:paraId="30AC6598">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color w:val="000000"/>
          <w:sz w:val="32"/>
          <w:szCs w:val="32"/>
        </w:rPr>
        <w:t>（一）租赁期限自</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日止（其中</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w:t>
      </w:r>
      <w:r>
        <w:rPr>
          <w:rFonts w:hint="eastAsia" w:ascii="仿宋_GB2312" w:hAnsi="仿宋" w:eastAsia="仿宋_GB2312"/>
          <w:sz w:val="32"/>
          <w:szCs w:val="32"/>
        </w:rPr>
        <w:t>为装修期，免收租金）。</w:t>
      </w:r>
    </w:p>
    <w:p w14:paraId="65542C01">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（二）甲方按现状交付，乙方应</w:t>
      </w:r>
      <w:r>
        <w:rPr>
          <w:rFonts w:hint="eastAsia" w:ascii="仿宋_GB2312" w:hAnsi="仿宋" w:eastAsia="仿宋_GB2312"/>
          <w:color w:val="000000"/>
          <w:sz w:val="32"/>
          <w:szCs w:val="32"/>
        </w:rPr>
        <w:t>于</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sz w:val="32"/>
          <w:szCs w:val="32"/>
        </w:rPr>
        <w:t>日接收该房屋(土地)，乙方未按照交付日期进行接收、办理接收手续的，视为甲方已按照合同约定以及约定的日期完成房屋(土地)交付。</w:t>
      </w:r>
    </w:p>
    <w:p w14:paraId="3E0E42B7">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第四条 租赁履约保证金</w:t>
      </w:r>
    </w:p>
    <w:p w14:paraId="1D681639">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（一）为保证合同的履行，乙方在订立合同</w:t>
      </w:r>
      <w:r>
        <w:rPr>
          <w:rFonts w:hint="eastAsia" w:ascii="仿宋_GB2312" w:hAnsi="仿宋" w:eastAsia="仿宋_GB2312"/>
          <w:color w:val="000000"/>
          <w:sz w:val="32"/>
          <w:szCs w:val="32"/>
          <w:u w:val="single"/>
          <w:lang w:val="en-US" w:eastAsia="zh-CN"/>
        </w:rPr>
        <w:t>之日起</w:t>
      </w:r>
      <w:r>
        <w:rPr>
          <w:rFonts w:hint="eastAsia" w:ascii="仿宋_GB2312" w:hAnsi="仿宋" w:eastAsia="仿宋_GB2312"/>
          <w:color w:val="000000"/>
          <w:sz w:val="32"/>
          <w:szCs w:val="32"/>
          <w:u w:val="single"/>
        </w:rPr>
        <w:t>7</w:t>
      </w:r>
      <w:r>
        <w:rPr>
          <w:rFonts w:hint="eastAsia" w:ascii="仿宋_GB2312" w:hAnsi="仿宋" w:eastAsia="仿宋_GB2312"/>
          <w:color w:val="000000"/>
          <w:sz w:val="32"/>
          <w:szCs w:val="32"/>
        </w:rPr>
        <w:t>日内向甲方支付履约保证金计人民币</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元（大写：</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）。本合同</w:t>
      </w:r>
      <w:r>
        <w:rPr>
          <w:rFonts w:ascii="仿宋_GB2312" w:hAnsi="仿宋" w:eastAsia="仿宋_GB2312"/>
          <w:color w:val="000000"/>
          <w:sz w:val="32"/>
          <w:szCs w:val="32"/>
        </w:rPr>
        <w:t>到期</w:t>
      </w:r>
      <w:r>
        <w:rPr>
          <w:rFonts w:hint="eastAsia" w:ascii="仿宋_GB2312" w:hAnsi="仿宋" w:eastAsia="仿宋_GB2312"/>
          <w:color w:val="000000"/>
          <w:sz w:val="32"/>
          <w:szCs w:val="32"/>
        </w:rPr>
        <w:t>终止后，经甲方查实乙方无相关欠缴费用和其他应</w:t>
      </w:r>
      <w:r>
        <w:rPr>
          <w:rFonts w:hint="eastAsia" w:ascii="仿宋_GB2312" w:hAnsi="仿宋" w:eastAsia="仿宋_GB2312"/>
          <w:sz w:val="32"/>
          <w:szCs w:val="32"/>
        </w:rPr>
        <w:t>付未付款项或其他未履行事项以及无违约情形后，履约保证金</w:t>
      </w:r>
      <w:r>
        <w:rPr>
          <w:rFonts w:ascii="仿宋_GB2312" w:hAnsi="仿宋" w:eastAsia="仿宋_GB2312"/>
          <w:sz w:val="32"/>
          <w:szCs w:val="32"/>
        </w:rPr>
        <w:t>在5个工作日内</w:t>
      </w:r>
      <w:r>
        <w:rPr>
          <w:rFonts w:hint="eastAsia" w:ascii="仿宋_GB2312" w:hAnsi="仿宋" w:eastAsia="仿宋_GB2312"/>
          <w:sz w:val="32"/>
          <w:szCs w:val="32"/>
        </w:rPr>
        <w:t>无息退还乙方。</w:t>
      </w:r>
    </w:p>
    <w:p w14:paraId="041DC39C">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（二）乙方未按时支付有关费用的，甲方通知乙方后有权从该履约保证金中扣减如下款项：</w:t>
      </w:r>
    </w:p>
    <w:p w14:paraId="102E6A58">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w:t>
      </w:r>
      <w:r>
        <w:rPr>
          <w:rFonts w:hint="eastAsia" w:ascii="仿宋_GB2312" w:hAnsi="仿宋" w:eastAsia="仿宋_GB2312"/>
          <w:sz w:val="32"/>
          <w:szCs w:val="32"/>
          <w:u w:val="none"/>
        </w:rPr>
        <w:t>欠付</w:t>
      </w:r>
      <w:r>
        <w:rPr>
          <w:rFonts w:hint="eastAsia" w:ascii="仿宋_GB2312" w:hAnsi="仿宋" w:eastAsia="仿宋_GB2312"/>
          <w:sz w:val="32"/>
          <w:szCs w:val="32"/>
        </w:rPr>
        <w:t>租金及其他费用；</w:t>
      </w:r>
    </w:p>
    <w:p w14:paraId="6B19098B">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2、乙方及其相关人员过错造成甲方的损失（包括但不限于甲方因乙方违约行为遭受的政府部门的处罚及名誉商誉损失等）；</w:t>
      </w:r>
    </w:p>
    <w:p w14:paraId="4EC37D4F">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3、乙方依据本合同支付的违约金、赔偿损失等。</w:t>
      </w:r>
    </w:p>
    <w:p w14:paraId="6D1CF926">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4、如履约保证金不足以支付上述费用，甲方有权继续向乙方进行追讨。本合同履行过程中，甲方以履约保证金抵扣上述款项后，乙方应在收到催缴通知日起7日内补足租赁履约保证金，否则，每延迟一天，按应收额的1% 支付违约金，超过30日的，甲方有权解除本合同并要求乙方赔偿甲方所有损失。</w:t>
      </w:r>
    </w:p>
    <w:p w14:paraId="1F5C83CA">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第五条 租金及付款方式</w:t>
      </w:r>
    </w:p>
    <w:p w14:paraId="4BFA3BF8">
      <w:pPr>
        <w:adjustRightInd w:val="0"/>
        <w:snapToGrid w:val="0"/>
        <w:spacing w:line="560" w:lineRule="exact"/>
        <w:ind w:firstLine="640"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val="en-US" w:eastAsia="zh-CN"/>
        </w:rPr>
        <w:t>（一）</w:t>
      </w:r>
      <w:r>
        <w:rPr>
          <w:rFonts w:hint="eastAsia" w:ascii="仿宋_GB2312" w:hAnsi="仿宋" w:eastAsia="仿宋_GB2312" w:cs="Times New Roman"/>
          <w:sz w:val="32"/>
          <w:szCs w:val="32"/>
        </w:rPr>
        <w:t>双方约定，</w:t>
      </w:r>
      <w:r>
        <w:rPr>
          <w:rFonts w:hint="eastAsia" w:ascii="仿宋_GB2312" w:hAnsi="仿宋" w:eastAsia="仿宋_GB2312" w:cs="Times New Roman"/>
          <w:sz w:val="32"/>
          <w:szCs w:val="32"/>
          <w:highlight w:val="none"/>
          <w:lang w:eastAsia="zh-CN"/>
        </w:rPr>
        <w:t>年</w:t>
      </w:r>
      <w:r>
        <w:rPr>
          <w:rFonts w:hint="eastAsia" w:ascii="仿宋_GB2312" w:hAnsi="仿宋" w:eastAsia="仿宋_GB2312" w:cs="Times New Roman"/>
          <w:sz w:val="32"/>
          <w:szCs w:val="32"/>
          <w:highlight w:val="none"/>
        </w:rPr>
        <w:t>租金标准</w:t>
      </w:r>
      <w:r>
        <w:rPr>
          <w:rFonts w:hint="eastAsia" w:ascii="仿宋_GB2312" w:hAnsi="仿宋" w:eastAsia="仿宋_GB2312" w:cs="Times New Roman"/>
          <w:sz w:val="32"/>
          <w:szCs w:val="32"/>
          <w:highlight w:val="none"/>
          <w:lang w:val="en-US" w:eastAsia="zh-CN"/>
        </w:rPr>
        <w:t>为</w:t>
      </w:r>
      <w:r>
        <w:rPr>
          <w:rFonts w:hint="eastAsia" w:ascii="仿宋_GB2312" w:hAnsi="仿宋" w:eastAsia="仿宋_GB2312" w:cs="Times New Roman"/>
          <w:sz w:val="32"/>
          <w:szCs w:val="32"/>
          <w:highlight w:val="none"/>
          <w:u w:val="single"/>
          <w:lang w:val="en-US" w:eastAsia="zh-CN"/>
        </w:rPr>
        <w:t xml:space="preserve">     </w:t>
      </w:r>
      <w:r>
        <w:rPr>
          <w:rFonts w:hint="eastAsia" w:ascii="仿宋_GB2312" w:hAnsi="仿宋" w:eastAsia="仿宋_GB2312" w:cs="Times New Roman"/>
          <w:sz w:val="32"/>
          <w:szCs w:val="32"/>
          <w:highlight w:val="none"/>
          <w:lang w:val="en-US" w:eastAsia="zh-CN"/>
        </w:rPr>
        <w:t>元,</w:t>
      </w:r>
      <w:r>
        <w:rPr>
          <w:rFonts w:hint="eastAsia" w:ascii="仿宋_GB2312" w:hAnsi="仿宋" w:eastAsia="仿宋_GB2312" w:cs="Times New Roman"/>
          <w:sz w:val="32"/>
          <w:szCs w:val="32"/>
          <w:lang w:val="en-US" w:eastAsia="zh-CN"/>
        </w:rPr>
        <w:t>租金按半年支付一次，</w:t>
      </w:r>
      <w:r>
        <w:rPr>
          <w:rFonts w:hint="eastAsia" w:ascii="仿宋_GB2312" w:hAnsi="仿宋" w:eastAsia="仿宋_GB2312" w:cs="Times New Roman"/>
          <w:sz w:val="32"/>
          <w:szCs w:val="32"/>
        </w:rPr>
        <w:t>先付后用</w:t>
      </w:r>
      <w:r>
        <w:rPr>
          <w:rFonts w:hint="eastAsia" w:ascii="仿宋_GB2312" w:hAnsi="仿宋" w:eastAsia="仿宋_GB2312" w:cs="Times New Roman"/>
          <w:sz w:val="32"/>
          <w:szCs w:val="32"/>
          <w:lang w:eastAsia="zh-CN"/>
        </w:rPr>
        <w:t>。</w:t>
      </w:r>
    </w:p>
    <w:p w14:paraId="16320BE3">
      <w:pPr>
        <w:adjustRightInd w:val="0"/>
        <w:snapToGrid w:val="0"/>
        <w:spacing w:line="560" w:lineRule="exact"/>
        <w:ind w:firstLine="640"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具体租金支付周期如下：</w:t>
      </w:r>
    </w:p>
    <w:tbl>
      <w:tblPr>
        <w:tblStyle w:val="11"/>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2763"/>
        <w:gridCol w:w="2655"/>
        <w:gridCol w:w="2340"/>
      </w:tblGrid>
      <w:tr w14:paraId="2DC1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73" w:type="dxa"/>
            <w:noWrap w:val="0"/>
            <w:vAlign w:val="center"/>
          </w:tcPr>
          <w:p w14:paraId="32137278">
            <w:pPr>
              <w:adjustRightInd w:val="0"/>
              <w:snapToGrid w:val="0"/>
              <w:spacing w:line="560" w:lineRule="exact"/>
              <w:ind w:left="0" w:leftChars="0" w:firstLine="0" w:firstLineChars="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期 次</w:t>
            </w:r>
          </w:p>
        </w:tc>
        <w:tc>
          <w:tcPr>
            <w:tcW w:w="2763" w:type="dxa"/>
            <w:noWrap w:val="0"/>
            <w:vAlign w:val="center"/>
          </w:tcPr>
          <w:p w14:paraId="78079ABB">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支付时点</w:t>
            </w:r>
          </w:p>
        </w:tc>
        <w:tc>
          <w:tcPr>
            <w:tcW w:w="2655" w:type="dxa"/>
            <w:noWrap w:val="0"/>
            <w:vAlign w:val="center"/>
          </w:tcPr>
          <w:p w14:paraId="45B1B4E3">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计费周期</w:t>
            </w:r>
          </w:p>
        </w:tc>
        <w:tc>
          <w:tcPr>
            <w:tcW w:w="2340" w:type="dxa"/>
            <w:noWrap w:val="0"/>
            <w:vAlign w:val="center"/>
          </w:tcPr>
          <w:p w14:paraId="66291E85">
            <w:pPr>
              <w:adjustRightInd w:val="0"/>
              <w:snapToGrid w:val="0"/>
              <w:spacing w:line="560" w:lineRule="exact"/>
              <w:ind w:left="0" w:leftChars="0" w:firstLine="0" w:firstLineChars="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当期应付数额/元</w:t>
            </w:r>
          </w:p>
        </w:tc>
      </w:tr>
      <w:tr w14:paraId="67B7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trPr>
        <w:tc>
          <w:tcPr>
            <w:tcW w:w="1273" w:type="dxa"/>
            <w:noWrap w:val="0"/>
            <w:vAlign w:val="center"/>
          </w:tcPr>
          <w:p w14:paraId="4E8FC1E4">
            <w:pPr>
              <w:adjustRightInd w:val="0"/>
              <w:snapToGrid w:val="0"/>
              <w:spacing w:line="560" w:lineRule="exact"/>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第一期</w:t>
            </w:r>
          </w:p>
        </w:tc>
        <w:tc>
          <w:tcPr>
            <w:tcW w:w="2763" w:type="dxa"/>
            <w:noWrap w:val="0"/>
            <w:vAlign w:val="center"/>
          </w:tcPr>
          <w:p w14:paraId="47D3843E">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 xml:space="preserve"> </w:t>
            </w:r>
          </w:p>
        </w:tc>
        <w:tc>
          <w:tcPr>
            <w:tcW w:w="2655" w:type="dxa"/>
            <w:noWrap w:val="0"/>
            <w:vAlign w:val="center"/>
          </w:tcPr>
          <w:p w14:paraId="65EFBD8E">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p>
        </w:tc>
        <w:tc>
          <w:tcPr>
            <w:tcW w:w="2340" w:type="dxa"/>
            <w:noWrap w:val="0"/>
            <w:vAlign w:val="center"/>
          </w:tcPr>
          <w:p w14:paraId="7B7AA23C">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p>
        </w:tc>
      </w:tr>
      <w:tr w14:paraId="0E19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trPr>
        <w:tc>
          <w:tcPr>
            <w:tcW w:w="1273" w:type="dxa"/>
            <w:noWrap w:val="0"/>
            <w:vAlign w:val="center"/>
          </w:tcPr>
          <w:p w14:paraId="006B938E">
            <w:pPr>
              <w:adjustRightInd w:val="0"/>
              <w:snapToGrid w:val="0"/>
              <w:spacing w:line="560" w:lineRule="exact"/>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第二期</w:t>
            </w:r>
          </w:p>
        </w:tc>
        <w:tc>
          <w:tcPr>
            <w:tcW w:w="2763" w:type="dxa"/>
            <w:noWrap w:val="0"/>
            <w:vAlign w:val="center"/>
          </w:tcPr>
          <w:p w14:paraId="2A3374B8">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p>
        </w:tc>
        <w:tc>
          <w:tcPr>
            <w:tcW w:w="2655" w:type="dxa"/>
            <w:noWrap w:val="0"/>
            <w:vAlign w:val="center"/>
          </w:tcPr>
          <w:p w14:paraId="3710FB43">
            <w:pPr>
              <w:adjustRightInd w:val="0"/>
              <w:snapToGrid w:val="0"/>
              <w:spacing w:line="560" w:lineRule="exact"/>
              <w:ind w:firstLine="640" w:firstLineChars="200"/>
              <w:rPr>
                <w:rFonts w:hint="eastAsia" w:ascii="仿宋_GB2312" w:hAnsi="仿宋" w:eastAsia="仿宋_GB2312" w:cs="Times New Roman"/>
                <w:sz w:val="32"/>
                <w:szCs w:val="32"/>
                <w:lang w:val="en-US" w:eastAsia="zh-CN"/>
              </w:rPr>
            </w:pPr>
          </w:p>
        </w:tc>
        <w:tc>
          <w:tcPr>
            <w:tcW w:w="2340" w:type="dxa"/>
            <w:noWrap w:val="0"/>
            <w:vAlign w:val="center"/>
          </w:tcPr>
          <w:p w14:paraId="5381F178">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p>
        </w:tc>
      </w:tr>
    </w:tbl>
    <w:p w14:paraId="474EC24A">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color w:val="000000"/>
          <w:sz w:val="32"/>
          <w:szCs w:val="32"/>
        </w:rPr>
        <w:t>（二）租金以银行转账方式支付至甲方指定的下</w:t>
      </w:r>
      <w:r>
        <w:rPr>
          <w:rFonts w:hint="eastAsia" w:ascii="仿宋_GB2312" w:hAnsi="仿宋" w:eastAsia="仿宋_GB2312"/>
          <w:sz w:val="32"/>
          <w:szCs w:val="32"/>
        </w:rPr>
        <w:t>列银行账户：</w:t>
      </w:r>
    </w:p>
    <w:p w14:paraId="1BDF761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单位名称：</w:t>
      </w:r>
      <w:r>
        <w:rPr>
          <w:rFonts w:hint="eastAsia" w:ascii="仿宋_GB2312" w:hAnsi="仿宋" w:eastAsia="仿宋_GB2312"/>
          <w:sz w:val="32"/>
          <w:szCs w:val="32"/>
          <w:u w:val="single"/>
          <w:lang w:val="en-US" w:eastAsia="zh-CN"/>
        </w:rPr>
        <w:t>宁波市镇海区城市物流开发有限公司</w:t>
      </w:r>
    </w:p>
    <w:p w14:paraId="3B156076">
      <w:pPr>
        <w:adjustRightInd w:val="0"/>
        <w:snapToGrid w:val="0"/>
        <w:spacing w:line="56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rPr>
        <w:t>纳税人识别号：913302</w:t>
      </w:r>
      <w:r>
        <w:rPr>
          <w:rFonts w:hint="eastAsia" w:ascii="仿宋_GB2312" w:hAnsi="仿宋" w:eastAsia="仿宋_GB2312"/>
          <w:sz w:val="32"/>
          <w:szCs w:val="32"/>
          <w:lang w:val="en-US" w:eastAsia="zh-CN"/>
        </w:rPr>
        <w:t>11309031622Y</w:t>
      </w:r>
    </w:p>
    <w:p w14:paraId="0950D0F0">
      <w:pPr>
        <w:adjustRightInd w:val="0"/>
        <w:snapToGrid w:val="0"/>
        <w:spacing w:line="56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rPr>
        <w:t>地址电话：镇海区招宝山街道平海路1188号86266308</w:t>
      </w:r>
    </w:p>
    <w:p w14:paraId="4F9E1FBC">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开户银行：中国建设银行宁波</w:t>
      </w:r>
      <w:r>
        <w:rPr>
          <w:rFonts w:hint="eastAsia" w:ascii="仿宋_GB2312" w:hAnsi="仿宋" w:eastAsia="仿宋_GB2312"/>
          <w:sz w:val="32"/>
          <w:szCs w:val="32"/>
          <w:lang w:val="en-US" w:eastAsia="zh-CN"/>
        </w:rPr>
        <w:t>市</w:t>
      </w:r>
      <w:r>
        <w:rPr>
          <w:rFonts w:hint="eastAsia" w:ascii="仿宋_GB2312" w:hAnsi="仿宋" w:eastAsia="仿宋_GB2312"/>
          <w:sz w:val="32"/>
          <w:szCs w:val="32"/>
        </w:rPr>
        <w:t>镇海</w:t>
      </w:r>
      <w:r>
        <w:rPr>
          <w:rFonts w:hint="eastAsia" w:ascii="仿宋_GB2312" w:hAnsi="仿宋" w:eastAsia="仿宋_GB2312"/>
          <w:sz w:val="32"/>
          <w:szCs w:val="32"/>
          <w:lang w:val="en-US" w:eastAsia="zh-CN"/>
        </w:rPr>
        <w:t>区</w:t>
      </w:r>
      <w:r>
        <w:rPr>
          <w:rFonts w:hint="eastAsia" w:ascii="仿宋_GB2312" w:hAnsi="仿宋" w:eastAsia="仿宋_GB2312"/>
          <w:sz w:val="32"/>
          <w:szCs w:val="32"/>
        </w:rPr>
        <w:t>支行</w:t>
      </w:r>
    </w:p>
    <w:p w14:paraId="0637ADDB">
      <w:pPr>
        <w:adjustRightInd w:val="0"/>
        <w:snapToGrid w:val="0"/>
        <w:spacing w:line="560" w:lineRule="exact"/>
        <w:ind w:firstLine="600" w:firstLineChars="200"/>
        <w:rPr>
          <w:rFonts w:hint="default" w:ascii="宋体" w:hAnsi="宋体" w:eastAsia="宋体" w:cs="宋体"/>
          <w:sz w:val="30"/>
          <w:szCs w:val="30"/>
          <w:lang w:val="en-US" w:eastAsia="zh-CN"/>
        </w:rPr>
      </w:pPr>
      <w:r>
        <w:rPr>
          <w:rFonts w:hint="eastAsia" w:ascii="宋体" w:hAnsi="宋体" w:cs="宋体"/>
          <w:sz w:val="30"/>
          <w:szCs w:val="30"/>
        </w:rPr>
        <w:t>开户账号：</w:t>
      </w:r>
      <w:r>
        <w:rPr>
          <w:rFonts w:hint="eastAsia" w:ascii="宋体" w:hAnsi="宋体" w:cs="宋体"/>
          <w:sz w:val="30"/>
          <w:szCs w:val="30"/>
          <w:lang w:val="en-US" w:eastAsia="zh-CN"/>
        </w:rPr>
        <w:t>33101984036050513724</w:t>
      </w:r>
    </w:p>
    <w:p w14:paraId="08F57364">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乙方支付租金后，甲方应当向乙方提供正规税务发票（</w:t>
      </w:r>
      <w:r>
        <w:rPr>
          <w:rFonts w:hint="eastAsia" w:ascii="仿宋_GB2312" w:hAnsi="仿宋" w:eastAsia="仿宋_GB2312"/>
          <w:sz w:val="32"/>
          <w:szCs w:val="32"/>
          <w:highlight w:val="none"/>
        </w:rPr>
        <w:t>租金为含税价</w:t>
      </w:r>
      <w:r>
        <w:rPr>
          <w:rFonts w:ascii="仿宋_GB2312" w:hAnsi="仿宋" w:eastAsia="仿宋_GB2312"/>
          <w:sz w:val="32"/>
          <w:szCs w:val="32"/>
          <w:highlight w:val="none"/>
        </w:rPr>
        <w:t>）</w:t>
      </w:r>
      <w:r>
        <w:rPr>
          <w:rFonts w:hint="eastAsia" w:ascii="仿宋_GB2312" w:hAnsi="仿宋" w:eastAsia="仿宋_GB2312"/>
          <w:sz w:val="32"/>
          <w:szCs w:val="32"/>
          <w:highlight w:val="none"/>
        </w:rPr>
        <w:t>。</w:t>
      </w:r>
    </w:p>
    <w:p w14:paraId="43FA7693">
      <w:pPr>
        <w:numPr>
          <w:ilvl w:val="0"/>
          <w:numId w:val="3"/>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乙方开票信息：</w:t>
      </w:r>
    </w:p>
    <w:p w14:paraId="0A293A43">
      <w:pPr>
        <w:adjustRightInd w:val="0"/>
        <w:snapToGrid w:val="0"/>
        <w:spacing w:line="560" w:lineRule="exact"/>
        <w:ind w:firstLine="640" w:firstLineChars="200"/>
        <w:rPr>
          <w:rFonts w:hint="default" w:ascii="仿宋_GB2312" w:hAnsi="仿宋" w:eastAsia="仿宋_GB2312"/>
          <w:sz w:val="32"/>
          <w:szCs w:val="32"/>
          <w:u w:val="single"/>
          <w:lang w:val="en-US" w:eastAsia="zh-CN"/>
        </w:rPr>
      </w:pPr>
      <w:r>
        <w:rPr>
          <w:rFonts w:hint="eastAsia" w:ascii="仿宋_GB2312" w:hAnsi="仿宋" w:eastAsia="仿宋_GB2312"/>
          <w:sz w:val="32"/>
          <w:szCs w:val="32"/>
          <w:u w:val="single"/>
        </w:rPr>
        <w:t>公司名称：</w:t>
      </w:r>
      <w:r>
        <w:rPr>
          <w:rFonts w:hint="eastAsia" w:ascii="仿宋_GB2312" w:hAnsi="仿宋" w:eastAsia="仿宋_GB2312"/>
          <w:sz w:val="32"/>
          <w:szCs w:val="32"/>
          <w:u w:val="single"/>
          <w:lang w:val="en-US" w:eastAsia="zh-CN"/>
        </w:rPr>
        <w:t xml:space="preserve">               </w:t>
      </w:r>
    </w:p>
    <w:p w14:paraId="0751FA00">
      <w:pPr>
        <w:adjustRightInd w:val="0"/>
        <w:snapToGrid w:val="0"/>
        <w:spacing w:line="560" w:lineRule="exact"/>
        <w:ind w:firstLine="640" w:firstLineChars="200"/>
        <w:rPr>
          <w:rFonts w:hint="default" w:ascii="仿宋_GB2312" w:hAnsi="仿宋" w:eastAsia="仿宋_GB2312"/>
          <w:sz w:val="32"/>
          <w:szCs w:val="32"/>
          <w:u w:val="single"/>
          <w:lang w:val="en-US" w:eastAsia="zh-CN"/>
        </w:rPr>
      </w:pPr>
      <w:r>
        <w:rPr>
          <w:rFonts w:hint="eastAsia" w:ascii="仿宋_GB2312" w:hAnsi="仿宋" w:eastAsia="仿宋_GB2312"/>
          <w:sz w:val="32"/>
          <w:szCs w:val="32"/>
          <w:u w:val="single"/>
        </w:rPr>
        <w:t>地址电话：</w:t>
      </w:r>
      <w:r>
        <w:rPr>
          <w:rFonts w:hint="eastAsia" w:ascii="仿宋_GB2312" w:hAnsi="仿宋" w:eastAsia="仿宋_GB2312"/>
          <w:sz w:val="32"/>
          <w:szCs w:val="32"/>
          <w:u w:val="single"/>
          <w:lang w:val="en-US" w:eastAsia="zh-CN"/>
        </w:rPr>
        <w:t xml:space="preserve">                </w:t>
      </w:r>
    </w:p>
    <w:p w14:paraId="56A0592E">
      <w:pPr>
        <w:adjustRightInd w:val="0"/>
        <w:snapToGrid w:val="0"/>
        <w:spacing w:line="560" w:lineRule="exact"/>
        <w:ind w:firstLine="640" w:firstLineChars="200"/>
        <w:rPr>
          <w:rFonts w:hint="default" w:ascii="仿宋_GB2312" w:hAnsi="仿宋" w:eastAsia="仿宋_GB2312"/>
          <w:sz w:val="32"/>
          <w:szCs w:val="32"/>
          <w:u w:val="single"/>
          <w:lang w:val="en-US" w:eastAsia="zh-CN"/>
        </w:rPr>
      </w:pPr>
      <w:r>
        <w:rPr>
          <w:rFonts w:hint="eastAsia" w:ascii="仿宋_GB2312" w:hAnsi="仿宋" w:eastAsia="仿宋_GB2312"/>
          <w:sz w:val="32"/>
          <w:szCs w:val="32"/>
          <w:u w:val="single"/>
        </w:rPr>
        <w:t>开户银行：</w:t>
      </w:r>
      <w:r>
        <w:rPr>
          <w:rFonts w:hint="eastAsia" w:ascii="仿宋_GB2312" w:hAnsi="仿宋" w:eastAsia="仿宋_GB2312"/>
          <w:sz w:val="32"/>
          <w:szCs w:val="32"/>
          <w:u w:val="single"/>
          <w:lang w:val="en-US" w:eastAsia="zh-CN"/>
        </w:rPr>
        <w:t xml:space="preserve">                </w:t>
      </w:r>
    </w:p>
    <w:p w14:paraId="73158D5E">
      <w:pPr>
        <w:adjustRightInd w:val="0"/>
        <w:snapToGrid w:val="0"/>
        <w:spacing w:line="560" w:lineRule="exact"/>
        <w:ind w:firstLine="600" w:firstLineChars="200"/>
        <w:rPr>
          <w:rFonts w:hint="default" w:ascii="仿宋_GB2312" w:hAnsi="仿宋" w:eastAsia="仿宋_GB2312"/>
          <w:sz w:val="32"/>
          <w:szCs w:val="32"/>
          <w:u w:val="single"/>
          <w:lang w:val="en-US" w:eastAsia="zh-CN"/>
        </w:rPr>
      </w:pPr>
      <w:r>
        <w:rPr>
          <w:rFonts w:hint="eastAsia" w:ascii="宋体" w:hAnsi="宋体" w:cs="宋体"/>
          <w:sz w:val="30"/>
          <w:szCs w:val="30"/>
        </w:rPr>
        <w:t>开户</w:t>
      </w:r>
      <w:r>
        <w:rPr>
          <w:rFonts w:hint="eastAsia" w:ascii="仿宋_GB2312" w:hAnsi="仿宋" w:eastAsia="仿宋_GB2312"/>
          <w:sz w:val="32"/>
          <w:szCs w:val="32"/>
          <w:u w:val="single"/>
        </w:rPr>
        <w:t>账号：</w:t>
      </w:r>
      <w:r>
        <w:rPr>
          <w:rFonts w:hint="eastAsia" w:ascii="仿宋_GB2312" w:hAnsi="仿宋" w:eastAsia="仿宋_GB2312"/>
          <w:sz w:val="32"/>
          <w:szCs w:val="32"/>
          <w:u w:val="single"/>
          <w:lang w:val="en-US" w:eastAsia="zh-CN"/>
        </w:rPr>
        <w:t xml:space="preserve">                 </w:t>
      </w:r>
    </w:p>
    <w:p w14:paraId="2BD3F5CC">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第六条 资产租赁期间的相关费用</w:t>
      </w:r>
    </w:p>
    <w:p w14:paraId="669071B1">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（一）租赁期间，以下费用，除另有约定外，全部由乙方支付，并由乙方承担逾期付款的违约责任。如因乙方欠缴或逾期付款导致甲方承担责任的，甲方有权向乙方追缴。</w:t>
      </w:r>
    </w:p>
    <w:p w14:paraId="16F4A4EF">
      <w:pPr>
        <w:numPr>
          <w:ilvl w:val="0"/>
          <w:numId w:val="4"/>
        </w:numPr>
        <w:adjustRightInd w:val="0"/>
        <w:snapToGrid w:val="0"/>
        <w:spacing w:line="560" w:lineRule="exact"/>
        <w:ind w:firstLine="640"/>
        <w:rPr>
          <w:rFonts w:ascii="仿宋_GB2312" w:hAnsi="仿宋" w:eastAsia="仿宋_GB2312"/>
          <w:sz w:val="32"/>
          <w:szCs w:val="32"/>
          <w:highlight w:val="none"/>
        </w:rPr>
      </w:pPr>
      <w:r>
        <w:rPr>
          <w:rFonts w:hint="eastAsia" w:ascii="仿宋_GB2312" w:hAnsi="仿宋" w:eastAsia="仿宋_GB2312"/>
          <w:sz w:val="32"/>
          <w:szCs w:val="32"/>
          <w:highlight w:val="none"/>
        </w:rPr>
        <w:t>租赁期间牵涉到的水、电、气、通讯、物业管理费、厂区出入口设置等一切经营费用以及出租使用期间的日常维修、维护、保养、扩容等一切费用等。；</w:t>
      </w:r>
    </w:p>
    <w:p w14:paraId="40862A09">
      <w:pPr>
        <w:numPr>
          <w:ilvl w:val="0"/>
          <w:numId w:val="4"/>
        </w:numPr>
        <w:adjustRightInd w:val="0"/>
        <w:snapToGrid w:val="0"/>
        <w:spacing w:line="560" w:lineRule="exact"/>
        <w:ind w:firstLine="640" w:firstLineChars="200"/>
        <w:rPr>
          <w:rFonts w:ascii="仿宋_GB2312" w:hAnsi="仿宋" w:eastAsia="仿宋_GB2312"/>
          <w:sz w:val="32"/>
          <w:szCs w:val="32"/>
          <w:highlight w:val="none"/>
        </w:rPr>
      </w:pPr>
      <w:r>
        <w:rPr>
          <w:rFonts w:hint="eastAsia" w:ascii="仿宋_GB2312" w:hAnsi="仿宋" w:eastAsia="仿宋_GB2312"/>
          <w:sz w:val="32"/>
          <w:szCs w:val="32"/>
          <w:highlight w:val="none"/>
        </w:rPr>
        <w:t>其他与资产使用相关的税金或费用。</w:t>
      </w:r>
    </w:p>
    <w:p w14:paraId="189233E9">
      <w:pPr>
        <w:adjustRightInd w:val="0"/>
        <w:snapToGrid w:val="0"/>
        <w:spacing w:line="56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（二）乙方应对经营活动产生的噪音、废水、废气进行妥善处理，不得为此影响周边居民和单位的正常工作、生活，因此造成的一切损失和责任均由乙方承担。</w:t>
      </w:r>
    </w:p>
    <w:p w14:paraId="1C42A82E">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第七条 甲方的权利与义务</w:t>
      </w:r>
    </w:p>
    <w:p w14:paraId="66461F0C">
      <w:pPr>
        <w:numPr>
          <w:ilvl w:val="0"/>
          <w:numId w:val="5"/>
        </w:numPr>
        <w:adjustRightInd w:val="0"/>
        <w:snapToGrid w:val="0"/>
        <w:spacing w:line="560" w:lineRule="exact"/>
        <w:ind w:firstLine="640"/>
        <w:rPr>
          <w:rFonts w:ascii="仿宋_GB2312" w:hAnsi="仿宋" w:eastAsia="仿宋_GB2312"/>
          <w:sz w:val="32"/>
          <w:szCs w:val="32"/>
        </w:rPr>
      </w:pPr>
      <w:r>
        <w:rPr>
          <w:rFonts w:hint="eastAsia" w:ascii="仿宋_GB2312" w:hAnsi="仿宋" w:eastAsia="仿宋_GB2312"/>
          <w:sz w:val="32"/>
          <w:szCs w:val="32"/>
          <w:highlight w:val="none"/>
        </w:rPr>
        <w:t>租赁期间，因政策性拆迁或不</w:t>
      </w:r>
      <w:r>
        <w:rPr>
          <w:rFonts w:hint="eastAsia" w:ascii="仿宋_GB2312" w:hAnsi="仿宋" w:eastAsia="仿宋_GB2312"/>
          <w:sz w:val="32"/>
          <w:szCs w:val="32"/>
        </w:rPr>
        <w:t>可抗力（指不可预见、不能避免、不能克服的客观情况）原因导致资产不能使用时，合同自拆迁公告发布之日或不可抗力发生之日解除，租金按日计算至乙方实际腾退之日，多退少补。资产拆迁权益</w:t>
      </w:r>
      <w:r>
        <w:rPr>
          <w:rFonts w:ascii="仿宋_GB2312" w:hAnsi="仿宋" w:eastAsia="仿宋_GB2312"/>
          <w:sz w:val="32"/>
          <w:szCs w:val="32"/>
        </w:rPr>
        <w:t>及利益</w:t>
      </w:r>
      <w:r>
        <w:rPr>
          <w:rFonts w:hint="eastAsia" w:ascii="仿宋_GB2312" w:hAnsi="仿宋" w:eastAsia="仿宋_GB2312"/>
          <w:sz w:val="32"/>
          <w:szCs w:val="32"/>
        </w:rPr>
        <w:t>由甲方享有，但法律、法规规定</w:t>
      </w:r>
      <w:r>
        <w:rPr>
          <w:rFonts w:hint="eastAsia" w:ascii="仿宋_GB2312" w:hAnsi="仿宋" w:eastAsia="仿宋_GB2312"/>
          <w:sz w:val="32"/>
          <w:szCs w:val="32"/>
          <w:lang w:val="en-US" w:eastAsia="zh-CN"/>
        </w:rPr>
        <w:t>可</w:t>
      </w:r>
      <w:r>
        <w:rPr>
          <w:rFonts w:hint="eastAsia" w:ascii="仿宋_GB2312" w:hAnsi="仿宋" w:eastAsia="仿宋_GB2312"/>
          <w:sz w:val="32"/>
          <w:szCs w:val="32"/>
        </w:rPr>
        <w:t>由乙方享有的除外。</w:t>
      </w:r>
    </w:p>
    <w:p w14:paraId="0F6C5677">
      <w:pPr>
        <w:numPr>
          <w:ilvl w:val="0"/>
          <w:numId w:val="5"/>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若乙方未经甲方书面同意擅自直接或变相全部或部分转租、转让、转借的，或擅自与第三方互换租赁物使用，或擅自改变资产用途与结构的,或将所租资产作任何形式的抵押或担保的，或违反国家法律、法规从事非法经营，或其他损害公共利益的，甲方有权解除合同，</w:t>
      </w:r>
      <w:r>
        <w:rPr>
          <w:rFonts w:hint="eastAsia" w:ascii="仿宋_GB2312" w:hAnsi="仿宋" w:eastAsia="仿宋_GB2312"/>
          <w:sz w:val="32"/>
          <w:szCs w:val="32"/>
          <w:lang w:val="en-US" w:eastAsia="zh-CN"/>
        </w:rPr>
        <w:t>没收全部履约保证金，</w:t>
      </w:r>
      <w:r>
        <w:rPr>
          <w:rFonts w:hint="eastAsia" w:ascii="仿宋_GB2312" w:hAnsi="仿宋" w:eastAsia="仿宋_GB2312"/>
          <w:sz w:val="32"/>
          <w:szCs w:val="32"/>
        </w:rPr>
        <w:t>并要求乙方承担该年度租金30%的违约金，收回租赁资产，由此产生的一切损失由乙方承担。</w:t>
      </w:r>
    </w:p>
    <w:p w14:paraId="17E41817">
      <w:pPr>
        <w:numPr>
          <w:ilvl w:val="0"/>
          <w:numId w:val="5"/>
        </w:numPr>
        <w:adjustRightInd w:val="0"/>
        <w:snapToGrid w:val="0"/>
        <w:spacing w:line="560" w:lineRule="exact"/>
        <w:ind w:left="-10" w:firstLine="640" w:firstLineChars="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租赁期间，若因有项目规划或甲方经营所需等，甲方提前二个月通知乙方，有权单方解除本合同，收回租赁物（租金按实结算），乙方必须无条件服从且不得向甲方主张任何损失赔偿或补偿。</w:t>
      </w:r>
    </w:p>
    <w:p w14:paraId="29DE1865">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第八条 乙方的权利与义务</w:t>
      </w:r>
    </w:p>
    <w:p w14:paraId="46D40F6C">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乙方在</w:t>
      </w:r>
      <w:r>
        <w:rPr>
          <w:rFonts w:ascii="仿宋_GB2312" w:hAnsi="仿宋" w:eastAsia="仿宋_GB2312"/>
          <w:sz w:val="32"/>
          <w:szCs w:val="32"/>
        </w:rPr>
        <w:t>租赁</w:t>
      </w:r>
      <w:r>
        <w:rPr>
          <w:rFonts w:hint="eastAsia" w:ascii="仿宋_GB2312" w:hAnsi="仿宋" w:eastAsia="仿宋_GB2312"/>
          <w:sz w:val="32"/>
          <w:szCs w:val="32"/>
        </w:rPr>
        <w:t>期间必须遵纪守法，承担租赁期间的房屋(土地)防火、防盗及门前卫生责任，不得利用租赁资产进行违法违纪活动，若发生违法违纪事件由乙方承担后果。乙方经营所涉事项与甲方无关。（附出租资产安全协议）</w:t>
      </w:r>
    </w:p>
    <w:p w14:paraId="36DE1E96">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乙方需装修，应事先征得甲方的同意，按规定须向有关部门审批的，则还应由甲方报请有关部门批准后，方可进行。</w:t>
      </w:r>
      <w:r>
        <w:rPr>
          <w:rFonts w:hint="eastAsia" w:ascii="仿宋_GB2312" w:hAnsi="仿宋" w:eastAsia="仿宋_GB2312"/>
          <w:sz w:val="32"/>
          <w:szCs w:val="32"/>
          <w:lang w:val="en-US" w:eastAsia="zh-CN"/>
        </w:rPr>
        <w:t>右侧产生的装修费由乙方自行承担。</w:t>
      </w:r>
    </w:p>
    <w:p w14:paraId="7F464E39">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未经甲方</w:t>
      </w:r>
      <w:r>
        <w:rPr>
          <w:rFonts w:hint="eastAsia" w:ascii="仿宋_GB2312" w:hAnsi="仿宋" w:eastAsia="仿宋_GB2312"/>
          <w:sz w:val="32"/>
          <w:szCs w:val="32"/>
          <w:lang w:val="en-US" w:eastAsia="zh-CN"/>
        </w:rPr>
        <w:t>书面</w:t>
      </w:r>
      <w:r>
        <w:rPr>
          <w:rFonts w:hint="eastAsia" w:ascii="仿宋_GB2312" w:hAnsi="仿宋" w:eastAsia="仿宋_GB2312"/>
          <w:sz w:val="32"/>
          <w:szCs w:val="32"/>
        </w:rPr>
        <w:t>同意，乙方不得擅自</w:t>
      </w:r>
      <w:r>
        <w:rPr>
          <w:rFonts w:hint="eastAsia" w:ascii="仿宋_GB2312" w:hAnsi="仿宋" w:eastAsia="仿宋_GB2312"/>
          <w:sz w:val="32"/>
          <w:szCs w:val="32"/>
          <w:lang w:val="en-US" w:eastAsia="zh-CN"/>
        </w:rPr>
        <w:t>直接或变相全部或部份</w:t>
      </w:r>
      <w:r>
        <w:rPr>
          <w:rFonts w:hint="eastAsia" w:ascii="仿宋_GB2312" w:hAnsi="仿宋" w:eastAsia="仿宋_GB2312"/>
          <w:sz w:val="32"/>
          <w:szCs w:val="32"/>
        </w:rPr>
        <w:t>转租、转让，不得将所租资产作任何形式的抵押或担保，资产租赁期间房屋(土地)维修养护等费用由乙方负责，同时乙方必须保持房屋(土地)整体结构不受破坏，擅自拆改结构或改变用途造成损失的由乙方赔偿损失。未经甲方</w:t>
      </w:r>
      <w:r>
        <w:rPr>
          <w:rFonts w:hint="eastAsia" w:ascii="仿宋_GB2312" w:hAnsi="仿宋" w:eastAsia="仿宋_GB2312"/>
          <w:sz w:val="32"/>
          <w:szCs w:val="32"/>
          <w:lang w:val="en-US" w:eastAsia="zh-CN"/>
        </w:rPr>
        <w:t>书面</w:t>
      </w:r>
      <w:r>
        <w:rPr>
          <w:rFonts w:hint="eastAsia" w:ascii="仿宋_GB2312" w:hAnsi="仿宋" w:eastAsia="仿宋_GB2312"/>
          <w:sz w:val="32"/>
          <w:szCs w:val="32"/>
        </w:rPr>
        <w:t>同意不得装修和搭建临时建筑物，经甲方同意装修和搭建的，租赁期满时，除可以移动的动产外，其他装修无条件无偿归甲方所有，甲方也不对此做任何补偿。乙方不得拆除所有不动产部分（包括装潢部分），乙方添附的活动物品、设备，由乙方自行处理。租赁期满，若乙方改变原甲方交付乙方时的房屋(土地)现状的，乙方交还租赁资产时应按甲方要求恢复资产原状，乙方应予以遵从并承担恢复原状费用。</w:t>
      </w:r>
    </w:p>
    <w:p w14:paraId="651D90CB">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乙方在经营过程中，由于乙方原因造成第三人财产损失、人身损害或其他侵权的，由乙方自行承担相应的责任与赔偿，若甲方因此遭受损失的，乙方还应承担赔偿责任。</w:t>
      </w:r>
    </w:p>
    <w:p w14:paraId="713961D5">
      <w:pPr>
        <w:numPr>
          <w:ilvl w:val="0"/>
          <w:numId w:val="6"/>
        </w:numPr>
        <w:adjustRightInd w:val="0"/>
        <w:snapToGrid w:val="0"/>
        <w:spacing w:line="560" w:lineRule="exact"/>
        <w:ind w:firstLine="640" w:firstLineChars="200"/>
        <w:rPr>
          <w:rFonts w:hint="eastAsia" w:ascii="仿宋_GB2312" w:hAnsi="仿宋" w:eastAsia="仿宋_GB2312" w:cs="Times New Roman"/>
          <w:sz w:val="32"/>
          <w:szCs w:val="32"/>
        </w:rPr>
      </w:pPr>
      <w:r>
        <w:rPr>
          <w:rFonts w:hint="eastAsia" w:ascii="仿宋_GB2312" w:hAnsi="仿宋" w:eastAsia="仿宋_GB2312"/>
          <w:sz w:val="32"/>
          <w:szCs w:val="32"/>
        </w:rPr>
        <w:t>租赁期间，乙方应负责做好消防、安全、卫生等工作，甲方有权予以督促。</w:t>
      </w:r>
      <w:r>
        <w:rPr>
          <w:rFonts w:hint="eastAsia" w:ascii="仿宋_GB2312" w:hAnsi="仿宋" w:eastAsia="仿宋_GB2312" w:cs="Times New Roman"/>
          <w:sz w:val="32"/>
          <w:szCs w:val="32"/>
        </w:rPr>
        <w:t>由于乙方消防治安等责任不到位，措施不落实等原因，导致经济损失或人员伤亡的，由乙方承担一切责任</w:t>
      </w:r>
      <w:r>
        <w:rPr>
          <w:rFonts w:hint="eastAsia" w:ascii="仿宋_GB2312" w:hAnsi="仿宋" w:eastAsia="仿宋_GB2312" w:cs="Times New Roman"/>
          <w:sz w:val="32"/>
          <w:szCs w:val="32"/>
          <w:lang w:eastAsia="zh-CN"/>
        </w:rPr>
        <w:t>。</w:t>
      </w:r>
    </w:p>
    <w:p w14:paraId="2FC727BC">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乙方应严格遵守甲方的规章制度及管理要求，对租赁期间中所获知甲方的商业机密进行严格保密，未经甲方同意，乙方不得向任何人进行批露。本协议所涉保密期限为协议生效之日起，保密义务不因协议有效期的终止而结束。</w:t>
      </w:r>
    </w:p>
    <w:p w14:paraId="33B645DC">
      <w:pPr>
        <w:numPr>
          <w:ilvl w:val="0"/>
          <w:numId w:val="6"/>
        </w:numPr>
        <w:adjustRightInd w:val="0"/>
        <w:snapToGrid w:val="0"/>
        <w:spacing w:line="560" w:lineRule="exact"/>
        <w:ind w:left="0" w:firstLine="640" w:firstLineChars="200"/>
        <w:rPr>
          <w:rFonts w:hint="eastAsia" w:ascii="仿宋_GB2312" w:hAnsi="仿宋" w:eastAsia="仿宋_GB2312"/>
          <w:sz w:val="32"/>
          <w:szCs w:val="32"/>
        </w:rPr>
      </w:pPr>
      <w:r>
        <w:rPr>
          <w:rFonts w:hint="eastAsia" w:ascii="仿宋_GB2312" w:hAnsi="仿宋" w:eastAsia="仿宋_GB2312"/>
          <w:sz w:val="32"/>
          <w:szCs w:val="32"/>
        </w:rPr>
        <w:t>乙方若要终止租赁关系，须提前叁个月书面通知甲方。经甲方书面同意后方可终止租赁关系。</w:t>
      </w:r>
    </w:p>
    <w:p w14:paraId="0669934F">
      <w:pPr>
        <w:numPr>
          <w:ilvl w:val="0"/>
          <w:numId w:val="6"/>
        </w:numPr>
        <w:adjustRightInd w:val="0"/>
        <w:snapToGrid w:val="0"/>
        <w:spacing w:line="560" w:lineRule="exact"/>
        <w:ind w:left="0"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乙方不得存放易燃易爆品、灌装液体、危险化学品等，不能产生噪音、污染物等不符合当地政府要求的排放物，不得在场地上放置渣土及搭建任何建筑物等，不得在场地内进行机械设备、车辆维修，拆装等，不得进行法律、法规禁止的其他活动。否则</w:t>
      </w:r>
      <w:r>
        <w:rPr>
          <w:rFonts w:hint="eastAsia" w:ascii="仿宋_GB2312" w:hAnsi="仿宋" w:eastAsia="仿宋_GB2312"/>
          <w:color w:val="000000"/>
          <w:sz w:val="32"/>
          <w:szCs w:val="32"/>
        </w:rPr>
        <w:t>甲方有权解除本合同、不退还乙方剩余租金、没收乙方全部履约保证金</w:t>
      </w:r>
      <w:r>
        <w:rPr>
          <w:rFonts w:hint="eastAsia" w:ascii="仿宋_GB2312" w:hAnsi="仿宋" w:eastAsia="仿宋_GB2312"/>
          <w:color w:val="000000"/>
          <w:sz w:val="32"/>
          <w:szCs w:val="32"/>
          <w:lang w:eastAsia="zh-CN"/>
        </w:rPr>
        <w:t>。</w:t>
      </w:r>
    </w:p>
    <w:p w14:paraId="10F82E48">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第九条 租赁期满</w:t>
      </w:r>
    </w:p>
    <w:p w14:paraId="047BB4BC">
      <w:pPr>
        <w:numPr>
          <w:ilvl w:val="0"/>
          <w:numId w:val="7"/>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租赁期满后，本合同即终止，乙方应</w:t>
      </w:r>
      <w:r>
        <w:rPr>
          <w:rFonts w:ascii="仿宋_GB2312" w:hAnsi="仿宋" w:eastAsia="仿宋_GB2312"/>
          <w:sz w:val="32"/>
          <w:szCs w:val="32"/>
        </w:rPr>
        <w:t>在</w:t>
      </w:r>
      <w:r>
        <w:rPr>
          <w:rFonts w:hint="eastAsia" w:ascii="仿宋_GB2312" w:hAnsi="仿宋" w:eastAsia="仿宋_GB2312"/>
          <w:sz w:val="32"/>
          <w:szCs w:val="32"/>
        </w:rPr>
        <w:t>合同终止</w:t>
      </w:r>
      <w:r>
        <w:rPr>
          <w:rFonts w:ascii="仿宋_GB2312" w:hAnsi="仿宋" w:eastAsia="仿宋_GB2312"/>
          <w:sz w:val="32"/>
          <w:szCs w:val="32"/>
        </w:rPr>
        <w:t>当日</w:t>
      </w:r>
      <w:r>
        <w:rPr>
          <w:rFonts w:hint="eastAsia" w:ascii="仿宋_GB2312" w:hAnsi="仿宋" w:eastAsia="仿宋_GB2312"/>
          <w:sz w:val="32"/>
          <w:szCs w:val="32"/>
        </w:rPr>
        <w:t>将租赁资产</w:t>
      </w:r>
      <w:r>
        <w:rPr>
          <w:rFonts w:ascii="仿宋_GB2312" w:hAnsi="仿宋" w:eastAsia="仿宋_GB2312"/>
          <w:sz w:val="32"/>
          <w:szCs w:val="32"/>
        </w:rPr>
        <w:t>腾退并交还给</w:t>
      </w:r>
      <w:r>
        <w:rPr>
          <w:rFonts w:hint="eastAsia" w:ascii="仿宋_GB2312" w:hAnsi="仿宋" w:eastAsia="仿宋_GB2312"/>
          <w:sz w:val="32"/>
          <w:szCs w:val="32"/>
        </w:rPr>
        <w:t>甲方</w:t>
      </w:r>
      <w:r>
        <w:rPr>
          <w:rFonts w:ascii="仿宋_GB2312" w:hAnsi="仿宋" w:eastAsia="仿宋_GB2312"/>
          <w:sz w:val="32"/>
          <w:szCs w:val="32"/>
        </w:rPr>
        <w:t>验收，</w:t>
      </w:r>
      <w:r>
        <w:rPr>
          <w:rFonts w:hint="eastAsia" w:ascii="仿宋_GB2312" w:hAnsi="仿宋" w:eastAsia="仿宋_GB2312"/>
          <w:sz w:val="32"/>
          <w:szCs w:val="32"/>
        </w:rPr>
        <w:t>否则，甲方可采用停水、停电等强制性措施；乙方逾期</w:t>
      </w:r>
      <w:r>
        <w:rPr>
          <w:rFonts w:ascii="仿宋_GB2312" w:hAnsi="仿宋" w:eastAsia="仿宋_GB2312"/>
          <w:sz w:val="32"/>
          <w:szCs w:val="32"/>
        </w:rPr>
        <w:t>腾退</w:t>
      </w:r>
      <w:r>
        <w:rPr>
          <w:rFonts w:hint="eastAsia" w:ascii="仿宋_GB2312" w:hAnsi="仿宋" w:eastAsia="仿宋_GB2312"/>
          <w:sz w:val="32"/>
          <w:szCs w:val="32"/>
        </w:rPr>
        <w:t>交还租赁资产期间按原租金三倍向甲方支付违约金。如</w:t>
      </w:r>
      <w:r>
        <w:rPr>
          <w:rFonts w:ascii="仿宋_GB2312" w:hAnsi="仿宋" w:eastAsia="仿宋_GB2312"/>
          <w:sz w:val="32"/>
          <w:szCs w:val="32"/>
        </w:rPr>
        <w:t>逾期未腾退</w:t>
      </w:r>
      <w:r>
        <w:rPr>
          <w:rFonts w:hint="eastAsia" w:ascii="仿宋_GB2312" w:hAnsi="仿宋" w:eastAsia="仿宋_GB2312"/>
          <w:sz w:val="32"/>
          <w:szCs w:val="32"/>
        </w:rPr>
        <w:t>，乙方遗留的所有财物作为乙方的遗弃物无偿归甲方所有，由甲方自行处理</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lang w:val="en-US" w:eastAsia="zh-CN"/>
        </w:rPr>
        <w:t>处置费用由乙方自行承担，</w:t>
      </w:r>
      <w:r>
        <w:rPr>
          <w:rFonts w:hint="eastAsia" w:ascii="仿宋_GB2312" w:hAnsi="仿宋" w:eastAsia="仿宋_GB2312"/>
          <w:sz w:val="32"/>
          <w:szCs w:val="32"/>
        </w:rPr>
        <w:t>如乙方要求继续租赁且在甲方继续公开招租时，同等条件下符合下次招租条件的，乙方同等报价的享有优先承租权，但乙方须在合同到期日叁个月前书面告知甲方，并按要求办理招租登记手续, 否则视为放弃优先承租权。</w:t>
      </w:r>
    </w:p>
    <w:p w14:paraId="48E165D7">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第十条 违约责任</w:t>
      </w:r>
    </w:p>
    <w:p w14:paraId="037D7369">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一）乙方应按期缴纳租金及其他各项费用，如逾期交纳租金及其他各项费用的，每逾期一日，按年租金的千分之五向甲方支付违约金，逾期超过15个工作日的，甲方有权立即终止合同、不退还乙方剩余租金、没收乙方全部履约保证金、采取停水停电措施并要求乙方按照年租金的30%支付违约金。</w:t>
      </w:r>
    </w:p>
    <w:p w14:paraId="484F3708">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合同期内，未经双方协商一致乙方需提前解除/终止本合同或未按协议约定时间通知甲方即解除的，甲方有权不退还乙方剩余租金、没收乙方的全部履约保证金并要求乙方支付一个月的租金作为违约金，如给甲方造成实际损失的，乙方还应承担赔偿责任。</w:t>
      </w:r>
    </w:p>
    <w:p w14:paraId="08A3B064">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16E4C65A">
      <w:pPr>
        <w:adjustRightInd w:val="0"/>
        <w:snapToGrid w:val="0"/>
        <w:spacing w:line="560" w:lineRule="exact"/>
        <w:ind w:left="0" w:firstLine="640" w:firstLineChars="200"/>
        <w:rPr>
          <w:rFonts w:ascii="仿宋_GB2312" w:hAnsi="仿宋" w:eastAsia="仿宋_GB2312"/>
          <w:color w:val="000000"/>
          <w:sz w:val="32"/>
          <w:szCs w:val="32"/>
        </w:rPr>
      </w:pPr>
      <w:r>
        <w:rPr>
          <w:rFonts w:hint="eastAsia" w:ascii="仿宋_GB2312" w:hAnsi="仿宋" w:eastAsia="仿宋_GB2312"/>
          <w:sz w:val="32"/>
          <w:szCs w:val="32"/>
        </w:rPr>
        <w:t>（四）未经甲方</w:t>
      </w:r>
      <w:r>
        <w:rPr>
          <w:rFonts w:hint="eastAsia" w:ascii="仿宋_GB2312" w:hAnsi="仿宋" w:eastAsia="仿宋_GB2312"/>
          <w:sz w:val="32"/>
          <w:szCs w:val="32"/>
          <w:lang w:val="en-US" w:eastAsia="zh-CN"/>
        </w:rPr>
        <w:t>书面</w:t>
      </w:r>
      <w:r>
        <w:rPr>
          <w:rFonts w:hint="eastAsia" w:ascii="仿宋_GB2312" w:hAnsi="仿宋" w:eastAsia="仿宋_GB2312"/>
          <w:sz w:val="32"/>
          <w:szCs w:val="32"/>
        </w:rPr>
        <w:t>同意，乙方如果擅自</w:t>
      </w:r>
      <w:r>
        <w:rPr>
          <w:rFonts w:hint="eastAsia" w:ascii="仿宋_GB2312" w:hAnsi="仿宋" w:eastAsia="仿宋_GB2312"/>
          <w:sz w:val="32"/>
          <w:szCs w:val="32"/>
          <w:lang w:val="en-US" w:eastAsia="zh-CN"/>
        </w:rPr>
        <w:t>直接或间接全部或部分</w:t>
      </w:r>
      <w:r>
        <w:rPr>
          <w:rFonts w:hint="eastAsia" w:ascii="仿宋_GB2312" w:hAnsi="仿宋" w:eastAsia="仿宋_GB2312"/>
          <w:color w:val="000000"/>
          <w:sz w:val="32"/>
          <w:szCs w:val="32"/>
        </w:rPr>
        <w:t>转租或擅自改变资产用途的,或违反国家法律、法规从事非法经营，或其他损害公共利益的，则甲方有权解除本合同、不退还乙方剩余租金、没收乙方全部履约保证金并要求乙方按照该年度租金的10%支付违约金。</w:t>
      </w:r>
    </w:p>
    <w:p w14:paraId="7302B4E9">
      <w:pPr>
        <w:adjustRightInd w:val="0"/>
        <w:snapToGrid w:val="0"/>
        <w:spacing w:line="560" w:lineRule="exact"/>
        <w:ind w:left="0"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（五）退租前,乙方应将房屋打扫干净,清理屋内垃圾及杂物、恢复原状,否则视为乙方违约，如乙方违约，要求乙方按照该年度租金的10%支付违约金。</w:t>
      </w:r>
    </w:p>
    <w:p w14:paraId="3B8B72CB">
      <w:pPr>
        <w:adjustRightInd w:val="0"/>
        <w:snapToGrid w:val="0"/>
        <w:spacing w:line="560" w:lineRule="exact"/>
        <w:ind w:left="0" w:firstLine="640" w:firstLineChars="200"/>
        <w:jc w:val="left"/>
        <w:rPr>
          <w:rFonts w:ascii="仿宋_GB2312" w:hAnsi="仿宋" w:eastAsia="仿宋_GB2312"/>
          <w:sz w:val="32"/>
          <w:szCs w:val="32"/>
        </w:rPr>
      </w:pPr>
      <w:r>
        <w:rPr>
          <w:rFonts w:hint="eastAsia" w:ascii="仿宋_GB2312" w:hAnsi="仿宋" w:eastAsia="仿宋_GB2312"/>
          <w:sz w:val="32"/>
          <w:szCs w:val="32"/>
        </w:rPr>
        <w:t>（六）因乙方保管不当或不合理使用,致使房屋(土地)及其附属物品、设备设施发生损坏或故障的,乙方应负责维修，如无法维修应按照设备设施的市场价承担赔偿责任，甲方有权不退还乙方剩余租金、没收乙方全部履约保证金并并要求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%支付违约金，如给甲方造成实际损失的，乙方还应承担赔偿责任。</w:t>
      </w:r>
    </w:p>
    <w:p w14:paraId="1BCFBBC3">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（七）因乙方违约，甲方为追索赔偿而支付的律师费、公证费、保全费、担保费和差旅费等费用均由乙方承担。</w:t>
      </w:r>
    </w:p>
    <w:p w14:paraId="320877EC">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（八）在合同有效期内，如遇到不可抗力因素，致使合同无法履行，双方互不承担责任，所产生的经济损失由双方各自承担，如遇租赁资产拆迁、征用等政府行为的，一方无须向另一方承担违约责任或赔偿责任。</w:t>
      </w:r>
    </w:p>
    <w:p w14:paraId="6CC993ED">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（九）租赁期内或者乙方实际占用期间，乙方存在违约行为，经甲方</w:t>
      </w:r>
      <w:r>
        <w:rPr>
          <w:rFonts w:hint="eastAsia" w:ascii="仿宋_GB2312" w:hAnsi="仿宋" w:eastAsia="仿宋_GB2312"/>
          <w:sz w:val="32"/>
          <w:szCs w:val="32"/>
          <w:lang w:val="en-US" w:eastAsia="zh-CN"/>
        </w:rPr>
        <w:t>事先</w:t>
      </w:r>
      <w:r>
        <w:rPr>
          <w:rFonts w:hint="eastAsia" w:ascii="仿宋_GB2312" w:hAnsi="仿宋" w:eastAsia="仿宋_GB2312"/>
          <w:sz w:val="32"/>
          <w:szCs w:val="32"/>
        </w:rPr>
        <w:t>通知</w:t>
      </w:r>
      <w:r>
        <w:rPr>
          <w:rFonts w:hint="eastAsia" w:ascii="仿宋_GB2312" w:hAnsi="仿宋" w:eastAsia="仿宋_GB2312"/>
          <w:sz w:val="32"/>
          <w:szCs w:val="32"/>
          <w:lang w:val="en-US" w:eastAsia="zh-CN"/>
        </w:rPr>
        <w:t>乙方</w:t>
      </w:r>
      <w:r>
        <w:rPr>
          <w:rFonts w:hint="eastAsia" w:ascii="仿宋_GB2312" w:hAnsi="仿宋" w:eastAsia="仿宋_GB2312"/>
          <w:sz w:val="32"/>
          <w:szCs w:val="32"/>
        </w:rPr>
        <w:t>后拒不纠正</w:t>
      </w:r>
      <w:r>
        <w:rPr>
          <w:rFonts w:hint="eastAsia" w:ascii="仿宋_GB2312" w:hAnsi="仿宋" w:eastAsia="仿宋_GB2312"/>
          <w:sz w:val="32"/>
          <w:szCs w:val="32"/>
          <w:lang w:val="en-US" w:eastAsia="zh-CN"/>
        </w:rPr>
        <w:t>或合理期限内未予纠正</w:t>
      </w:r>
      <w:r>
        <w:rPr>
          <w:rFonts w:hint="eastAsia" w:ascii="仿宋_GB2312" w:hAnsi="仿宋" w:eastAsia="仿宋_GB2312"/>
          <w:sz w:val="32"/>
          <w:szCs w:val="32"/>
        </w:rPr>
        <w:t>的，甲方有权采取停水停电等形式，直至乙方纠正其违约行为，而无需向乙方承担任何责任。</w:t>
      </w:r>
    </w:p>
    <w:p w14:paraId="7D30E6D9">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十）凡乙方未全面遵守《出租资产安全协议》规定的安全责任内容或对检查中发现的安全隐患不及时整改的，甲方有权采取：包括但不限于解除本合同、不退还乙方剩余租金、没收乙方全部履约保证金、要求乙方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w:t>
      </w:r>
      <w:r>
        <w:rPr>
          <w:rFonts w:hint="eastAsia" w:ascii="仿宋_GB2312" w:hAnsi="仿宋" w:eastAsia="仿宋_GB2312"/>
          <w:sz w:val="32"/>
          <w:szCs w:val="32"/>
          <w:lang w:eastAsia="zh-CN"/>
        </w:rPr>
        <w:t>，</w:t>
      </w:r>
      <w:r>
        <w:rPr>
          <w:rFonts w:hint="eastAsia" w:ascii="仿宋_GB2312" w:hAnsi="仿宋" w:eastAsia="仿宋_GB2312"/>
          <w:sz w:val="32"/>
          <w:szCs w:val="32"/>
        </w:rPr>
        <w:t>采取停水停电措施至乙方同意按约履行或整改时止等措施。乙方应当按照本合同约定或者告知书约定承担违约责任。</w:t>
      </w:r>
    </w:p>
    <w:p w14:paraId="381D843D">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第十一条 争议处理方式</w:t>
      </w:r>
    </w:p>
    <w:p w14:paraId="7BC6C471">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（一）本合同受中华人民共和国法律管辖并按其进行解释。</w:t>
      </w:r>
    </w:p>
    <w:p w14:paraId="125DCD03">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（二）本合同在履行过程中发生的争议由双方当事人协商解决。</w:t>
      </w:r>
    </w:p>
    <w:p w14:paraId="2C6B3B32">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（三）协商不成时，由租赁资产所在地人民法院诉讼管辖。</w:t>
      </w:r>
    </w:p>
    <w:p w14:paraId="48864CD0">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第十二条 其他</w:t>
      </w:r>
    </w:p>
    <w:p w14:paraId="1EF656D6">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（一）</w:t>
      </w:r>
      <w:r>
        <w:rPr>
          <w:rFonts w:hint="eastAsia" w:ascii="仿宋_GB2312" w:hAnsi="仿宋" w:eastAsia="仿宋_GB2312"/>
          <w:sz w:val="32"/>
          <w:szCs w:val="32"/>
        </w:rPr>
        <w:t>对于本合同未尽事项，双方可另行签订补充协议，补充协议作为本合同的附件，具有同等法律效力。</w:t>
      </w:r>
    </w:p>
    <w:p w14:paraId="4C96D537">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二</w:t>
      </w:r>
      <w:r>
        <w:rPr>
          <w:rFonts w:hint="eastAsia" w:ascii="仿宋_GB2312" w:hAnsi="仿宋" w:eastAsia="仿宋_GB2312"/>
          <w:sz w:val="32"/>
          <w:szCs w:val="32"/>
          <w:lang w:eastAsia="zh-CN"/>
        </w:rPr>
        <w:t>）</w:t>
      </w:r>
      <w:r>
        <w:rPr>
          <w:rFonts w:hint="eastAsia" w:ascii="仿宋_GB2312" w:hAnsi="仿宋" w:eastAsia="仿宋_GB2312"/>
          <w:sz w:val="32"/>
          <w:szCs w:val="32"/>
        </w:rPr>
        <w:t>本合同须经甲乙双方签字并盖章后生效。</w:t>
      </w:r>
    </w:p>
    <w:p w14:paraId="64178E5F">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（三）</w:t>
      </w:r>
      <w:r>
        <w:rPr>
          <w:rFonts w:hint="eastAsia" w:ascii="仿宋_GB2312" w:hAnsi="仿宋" w:eastAsia="仿宋_GB2312"/>
          <w:sz w:val="32"/>
          <w:szCs w:val="32"/>
        </w:rPr>
        <w:t>文首所载双方联系信息为双方接收文书资料（含司法程序中文书资料）的指定地址，如有变更应书面通知对方，否则相关文书资料纸质版，快递发出后两日视为送达；电子方式发出的，发出即视为送达。</w:t>
      </w:r>
    </w:p>
    <w:p w14:paraId="5B667DA3">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四</w:t>
      </w:r>
      <w:r>
        <w:rPr>
          <w:rFonts w:hint="eastAsia" w:ascii="仿宋_GB2312" w:hAnsi="仿宋" w:eastAsia="仿宋_GB2312"/>
          <w:sz w:val="32"/>
          <w:szCs w:val="32"/>
          <w:lang w:eastAsia="zh-CN"/>
        </w:rPr>
        <w:t>）</w:t>
      </w:r>
      <w:r>
        <w:rPr>
          <w:rFonts w:hint="eastAsia" w:ascii="仿宋_GB2312" w:hAnsi="仿宋" w:eastAsia="仿宋_GB2312"/>
          <w:sz w:val="32"/>
          <w:szCs w:val="32"/>
        </w:rPr>
        <w:t>本协议为双方平等、自愿协商的结果，是双方真实意思的表示，并且公平、合理，不存在任何重大误解、显失公平、欺诈、胁迫或乘人之危之情形。</w:t>
      </w:r>
    </w:p>
    <w:p w14:paraId="2922A409">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五</w:t>
      </w:r>
      <w:r>
        <w:rPr>
          <w:rFonts w:hint="eastAsia" w:ascii="仿宋_GB2312" w:hAnsi="仿宋" w:eastAsia="仿宋_GB2312"/>
          <w:sz w:val="32"/>
          <w:szCs w:val="32"/>
          <w:lang w:eastAsia="zh-CN"/>
        </w:rPr>
        <w:t>）</w:t>
      </w:r>
      <w:r>
        <w:rPr>
          <w:rFonts w:hint="eastAsia" w:ascii="仿宋_GB2312" w:hAnsi="仿宋" w:eastAsia="仿宋_GB2312"/>
          <w:sz w:val="32"/>
          <w:szCs w:val="32"/>
        </w:rPr>
        <w:t>本合同一式肆份，甲乙双方各执贰份，均具有同等的法律效力。</w:t>
      </w:r>
    </w:p>
    <w:p w14:paraId="0DE8210E">
      <w:pPr>
        <w:adjustRightInd w:val="0"/>
        <w:snapToGrid w:val="0"/>
        <w:spacing w:line="560" w:lineRule="exact"/>
        <w:ind w:firstLine="960" w:firstLineChars="300"/>
        <w:rPr>
          <w:rFonts w:ascii="仿宋_GB2312" w:hAnsi="仿宋" w:eastAsia="仿宋_GB2312"/>
          <w:sz w:val="32"/>
          <w:szCs w:val="32"/>
        </w:rPr>
      </w:pPr>
      <w:r>
        <w:rPr>
          <w:rFonts w:hint="eastAsia" w:ascii="仿宋_GB2312" w:hAnsi="仿宋" w:eastAsia="仿宋_GB2312"/>
          <w:sz w:val="32"/>
          <w:szCs w:val="32"/>
        </w:rPr>
        <w:t>附件：</w:t>
      </w:r>
    </w:p>
    <w:p w14:paraId="6175A39A">
      <w:pPr>
        <w:adjustRightInd w:val="0"/>
        <w:snapToGrid w:val="0"/>
        <w:spacing w:line="560" w:lineRule="exact"/>
        <w:ind w:firstLine="1600" w:firstLineChars="500"/>
        <w:rPr>
          <w:rFonts w:ascii="仿宋_GB2312" w:hAnsi="仿宋" w:eastAsia="仿宋_GB2312"/>
          <w:sz w:val="32"/>
          <w:szCs w:val="32"/>
        </w:rPr>
      </w:pPr>
      <w:r>
        <w:rPr>
          <w:rFonts w:hint="eastAsia" w:ascii="仿宋_GB2312" w:hAnsi="仿宋" w:eastAsia="仿宋_GB2312"/>
          <w:sz w:val="32"/>
          <w:szCs w:val="32"/>
          <w:lang w:val="en-US" w:eastAsia="zh-CN"/>
        </w:rPr>
        <w:t>1</w:t>
      </w:r>
      <w:r>
        <w:rPr>
          <w:rFonts w:hint="eastAsia" w:ascii="仿宋_GB2312" w:hAnsi="仿宋" w:eastAsia="仿宋_GB2312"/>
          <w:sz w:val="32"/>
          <w:szCs w:val="32"/>
        </w:rPr>
        <w:t>.出租资产安全协议</w:t>
      </w:r>
    </w:p>
    <w:p w14:paraId="032B0640">
      <w:pPr>
        <w:adjustRightInd w:val="0"/>
        <w:snapToGrid w:val="0"/>
        <w:spacing w:line="560" w:lineRule="exact"/>
        <w:ind w:firstLine="1600" w:firstLineChars="500"/>
        <w:rPr>
          <w:rFonts w:ascii="仿宋_GB2312" w:hAnsi="仿宋" w:eastAsia="仿宋_GB2312"/>
          <w:sz w:val="32"/>
          <w:szCs w:val="32"/>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.乙方（法人代表）身份证复印件、营业执照复印件</w:t>
      </w:r>
    </w:p>
    <w:p w14:paraId="3B4922B0">
      <w:pPr>
        <w:adjustRightInd w:val="0"/>
        <w:snapToGrid w:val="0"/>
        <w:spacing w:line="560" w:lineRule="exact"/>
        <w:ind w:left="0" w:leftChars="0" w:firstLine="0" w:firstLineChars="0"/>
        <w:rPr>
          <w:rFonts w:ascii="仿宋_GB2312" w:hAnsi="仿宋" w:eastAsia="仿宋_GB2312"/>
          <w:sz w:val="32"/>
          <w:szCs w:val="32"/>
        </w:rPr>
      </w:pPr>
      <w:r>
        <w:rPr>
          <w:rFonts w:hint="eastAsia" w:ascii="仿宋_GB2312" w:hAnsi="仿宋" w:eastAsia="仿宋_GB2312"/>
          <w:sz w:val="32"/>
          <w:szCs w:val="32"/>
        </w:rPr>
        <w:t>甲方签字(盖章)：              乙方签字(盖章)：</w:t>
      </w:r>
    </w:p>
    <w:p w14:paraId="6DDB15AA">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法定代表人：                  法定代表人：</w:t>
      </w:r>
    </w:p>
    <w:p w14:paraId="03026E43">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年  月  日                    年  月  日</w:t>
      </w:r>
    </w:p>
    <w:p w14:paraId="777CC898">
      <w:pPr>
        <w:keepNext w:val="0"/>
        <w:keepLines w:val="0"/>
        <w:pageBreakBefore w:val="0"/>
        <w:widowControl w:val="0"/>
        <w:kinsoku/>
        <w:wordWrap/>
        <w:overflowPunct/>
        <w:topLinePunct w:val="0"/>
        <w:autoSpaceDE/>
        <w:autoSpaceDN/>
        <w:bidi w:val="0"/>
        <w:adjustRightInd w:val="0"/>
        <w:snapToGrid w:val="0"/>
        <w:spacing w:line="600" w:lineRule="exact"/>
        <w:ind w:left="0"/>
        <w:jc w:val="both"/>
        <w:textAlignment w:val="bottom"/>
        <w:rPr>
          <w:rFonts w:hint="eastAsia" w:ascii="方正小标宋简体" w:hAnsi="方正小标宋简体" w:eastAsia="方正小标宋简体" w:cs="方正小标宋简体"/>
          <w:color w:val="auto"/>
          <w:sz w:val="44"/>
          <w:szCs w:val="44"/>
          <w:lang w:eastAsia="zh-CN"/>
        </w:rPr>
      </w:pPr>
    </w:p>
    <w:p w14:paraId="30ABEBFD">
      <w:pPr>
        <w:keepNext w:val="0"/>
        <w:keepLines w:val="0"/>
        <w:pageBreakBefore w:val="0"/>
        <w:widowControl w:val="0"/>
        <w:kinsoku/>
        <w:wordWrap/>
        <w:overflowPunct/>
        <w:topLinePunct w:val="0"/>
        <w:autoSpaceDE/>
        <w:autoSpaceDN/>
        <w:bidi w:val="0"/>
        <w:adjustRightInd w:val="0"/>
        <w:snapToGrid w:val="0"/>
        <w:spacing w:line="600" w:lineRule="exact"/>
        <w:ind w:left="0"/>
        <w:jc w:val="both"/>
        <w:textAlignment w:val="bottom"/>
        <w:rPr>
          <w:rFonts w:hint="eastAsia" w:ascii="方正小标宋简体" w:hAnsi="方正小标宋简体" w:eastAsia="方正小标宋简体" w:cs="方正小标宋简体"/>
          <w:color w:val="auto"/>
          <w:sz w:val="44"/>
          <w:szCs w:val="44"/>
          <w:lang w:eastAsia="zh-CN"/>
        </w:rPr>
      </w:pPr>
    </w:p>
    <w:p w14:paraId="79FDEF3E">
      <w:pPr>
        <w:keepNext w:val="0"/>
        <w:keepLines w:val="0"/>
        <w:pageBreakBefore w:val="0"/>
        <w:widowControl w:val="0"/>
        <w:kinsoku/>
        <w:wordWrap/>
        <w:overflowPunct/>
        <w:topLinePunct w:val="0"/>
        <w:autoSpaceDE/>
        <w:autoSpaceDN/>
        <w:bidi w:val="0"/>
        <w:adjustRightInd w:val="0"/>
        <w:snapToGrid w:val="0"/>
        <w:spacing w:line="600" w:lineRule="exact"/>
        <w:ind w:left="0"/>
        <w:jc w:val="both"/>
        <w:textAlignment w:val="bottom"/>
        <w:rPr>
          <w:rFonts w:hint="eastAsia" w:ascii="方正小标宋简体" w:hAnsi="方正小标宋简体" w:eastAsia="方正小标宋简体" w:cs="方正小标宋简体"/>
          <w:color w:val="auto"/>
          <w:sz w:val="44"/>
          <w:szCs w:val="44"/>
          <w:lang w:eastAsia="zh-CN"/>
        </w:rPr>
      </w:pPr>
    </w:p>
    <w:p w14:paraId="4675DABD">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3EC7F777">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1D4D39BC">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739EDF55">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4F94BD70">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60196B3B">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21CA506D">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5719A5D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5B05325A">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162920D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2540864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17A8979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0DB3704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0DBFF51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32B8172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294E7DB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1896B2D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798462C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4B6C5BE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49EC581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534CF50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A3372F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5CC101D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3465A39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C518C4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0C179FD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72A3D97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62076D0F">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63F37765">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B05504F">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57921919">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304CE2BB">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379C86AF">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38094F0">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7661C60"/>
    <w:p w14:paraId="3E6F0A63">
      <w:pPr>
        <w:pStyle w:val="18"/>
      </w:pPr>
    </w:p>
    <w:p w14:paraId="6735C029">
      <w:pPr>
        <w:pStyle w:val="18"/>
      </w:pPr>
    </w:p>
    <w:p w14:paraId="7D7CBEBA">
      <w:pPr>
        <w:pStyle w:val="18"/>
      </w:pPr>
    </w:p>
    <w:p w14:paraId="5F74069C">
      <w:pPr>
        <w:pStyle w:val="18"/>
      </w:pPr>
    </w:p>
    <w:p w14:paraId="02B96104">
      <w:pPr>
        <w:pStyle w:val="18"/>
      </w:pPr>
    </w:p>
    <w:p w14:paraId="006FDE6E">
      <w:pPr>
        <w:pStyle w:val="18"/>
      </w:pPr>
    </w:p>
    <w:p w14:paraId="7A3960F2">
      <w:pPr>
        <w:pStyle w:val="18"/>
      </w:pPr>
    </w:p>
    <w:p w14:paraId="1CC472E0">
      <w:pPr>
        <w:pStyle w:val="18"/>
      </w:pPr>
    </w:p>
    <w:p w14:paraId="3EDDE1D1">
      <w:pPr>
        <w:pStyle w:val="18"/>
      </w:pPr>
    </w:p>
    <w:p w14:paraId="6CAC0154">
      <w:pPr>
        <w:pStyle w:val="18"/>
      </w:pPr>
    </w:p>
    <w:p w14:paraId="246FBBA1">
      <w:pPr>
        <w:pStyle w:val="18"/>
      </w:pPr>
    </w:p>
    <w:p w14:paraId="754107FA">
      <w:pPr>
        <w:pStyle w:val="18"/>
      </w:pPr>
    </w:p>
    <w:p w14:paraId="5620DDEF">
      <w:pPr>
        <w:pStyle w:val="18"/>
      </w:pPr>
    </w:p>
    <w:p w14:paraId="5E3E82AE">
      <w:pPr>
        <w:rPr>
          <w:rFonts w:hint="eastAsia" w:ascii="黑体" w:hAnsi="黑体" w:eastAsia="黑体" w:cs="黑体"/>
          <w:b/>
          <w:bCs/>
          <w:sz w:val="30"/>
          <w:szCs w:val="30"/>
        </w:rPr>
      </w:pPr>
    </w:p>
    <w:p w14:paraId="7EA00817">
      <w:pPr>
        <w:rPr>
          <w:rFonts w:hint="eastAsia" w:ascii="黑体" w:hAnsi="黑体" w:eastAsia="黑体" w:cs="黑体"/>
          <w:b/>
          <w:bCs/>
          <w:sz w:val="30"/>
          <w:szCs w:val="30"/>
        </w:rPr>
      </w:pPr>
    </w:p>
    <w:p w14:paraId="7BA8337D">
      <w:pPr>
        <w:rPr>
          <w:rFonts w:hint="eastAsia" w:ascii="黑体" w:hAnsi="黑体" w:eastAsia="黑体" w:cs="黑体"/>
          <w:b/>
          <w:bCs/>
          <w:sz w:val="30"/>
          <w:szCs w:val="30"/>
        </w:rPr>
      </w:pPr>
    </w:p>
    <w:p w14:paraId="42AF3189">
      <w:pPr>
        <w:rPr>
          <w:rFonts w:hint="eastAsia" w:ascii="黑体" w:hAnsi="黑体" w:eastAsia="黑体" w:cs="黑体"/>
          <w:b/>
          <w:bCs/>
          <w:sz w:val="30"/>
          <w:szCs w:val="30"/>
        </w:rPr>
      </w:pPr>
    </w:p>
    <w:p w14:paraId="41CC4210">
      <w:pPr>
        <w:rPr>
          <w:rFonts w:hint="eastAsia" w:ascii="黑体" w:hAnsi="黑体" w:eastAsia="黑体" w:cs="黑体"/>
          <w:b/>
          <w:bCs/>
          <w:sz w:val="30"/>
          <w:szCs w:val="30"/>
        </w:rPr>
      </w:pPr>
    </w:p>
    <w:p w14:paraId="2B42D252">
      <w:pPr>
        <w:rPr>
          <w:rFonts w:hint="eastAsia" w:ascii="黑体" w:hAnsi="黑体" w:eastAsia="黑体" w:cs="黑体"/>
          <w:b/>
          <w:bCs/>
          <w:sz w:val="30"/>
          <w:szCs w:val="30"/>
        </w:rPr>
      </w:pPr>
    </w:p>
    <w:p w14:paraId="3FA6EA9F">
      <w:pPr>
        <w:rPr>
          <w:rFonts w:hint="eastAsia" w:ascii="黑体" w:hAnsi="黑体" w:eastAsia="黑体" w:cs="黑体"/>
          <w:b/>
          <w:bCs/>
          <w:sz w:val="30"/>
          <w:szCs w:val="30"/>
        </w:rPr>
      </w:pPr>
    </w:p>
    <w:p w14:paraId="2CFB660A">
      <w:pPr>
        <w:rPr>
          <w:rFonts w:hint="eastAsia" w:ascii="黑体" w:hAnsi="黑体" w:eastAsia="黑体" w:cs="黑体"/>
          <w:b/>
          <w:bCs/>
          <w:sz w:val="30"/>
          <w:szCs w:val="30"/>
          <w:lang w:eastAsia="zh-CN"/>
        </w:rPr>
      </w:pPr>
      <w:r>
        <w:rPr>
          <w:rFonts w:hint="eastAsia" w:ascii="黑体" w:hAnsi="黑体" w:eastAsia="黑体" w:cs="黑体"/>
          <w:b/>
          <w:bCs/>
          <w:sz w:val="30"/>
          <w:szCs w:val="30"/>
          <w:lang w:eastAsia="zh-CN"/>
        </w:rPr>
        <w:drawing>
          <wp:inline distT="0" distB="0" distL="114300" distR="114300">
            <wp:extent cx="5537835" cy="3460750"/>
            <wp:effectExtent l="0" t="0" r="5715" b="6350"/>
            <wp:docPr id="2" name="图片 2" descr="1779070115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79070115584"/>
                    <pic:cNvPicPr>
                      <a:picLocks noChangeAspect="1"/>
                    </pic:cNvPicPr>
                  </pic:nvPicPr>
                  <pic:blipFill>
                    <a:blip r:embed="rId5"/>
                    <a:stretch>
                      <a:fillRect/>
                    </a:stretch>
                  </pic:blipFill>
                  <pic:spPr>
                    <a:xfrm>
                      <a:off x="0" y="0"/>
                      <a:ext cx="5537835" cy="3460750"/>
                    </a:xfrm>
                    <a:prstGeom prst="rect">
                      <a:avLst/>
                    </a:prstGeom>
                  </pic:spPr>
                </pic:pic>
              </a:graphicData>
            </a:graphic>
          </wp:inline>
        </w:drawing>
      </w:r>
    </w:p>
    <w:p w14:paraId="2244A98F">
      <w:pPr>
        <w:rPr>
          <w:rFonts w:hint="eastAsia" w:ascii="黑体" w:hAnsi="黑体" w:eastAsia="黑体" w:cs="黑体"/>
          <w:b/>
          <w:bCs/>
          <w:sz w:val="30"/>
          <w:szCs w:val="30"/>
        </w:rPr>
      </w:pPr>
    </w:p>
    <w:p w14:paraId="262EFCA8">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E6C0E8C-AF46-40A5-A5DD-9A0C15F91FF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7AB77F79-4BB3-456D-B4A9-1E521DA3269D}"/>
  </w:font>
  <w:font w:name="仿宋_GB2312">
    <w:panose1 w:val="02010609030101010101"/>
    <w:charset w:val="86"/>
    <w:family w:val="modern"/>
    <w:pitch w:val="default"/>
    <w:sig w:usb0="00000001" w:usb1="080E0000" w:usb2="00000000" w:usb3="00000000" w:csb0="00040000" w:csb1="00000000"/>
    <w:embedRegular r:id="rId3" w:fontKey="{AD98AD1C-9AFA-4C00-90CF-5B230BA06AFC}"/>
  </w:font>
  <w:font w:name="方正小标宋简体">
    <w:panose1 w:val="03000509000000000000"/>
    <w:charset w:val="86"/>
    <w:family w:val="auto"/>
    <w:pitch w:val="default"/>
    <w:sig w:usb0="00000001" w:usb1="080E0000" w:usb2="00000000" w:usb3="00000000" w:csb0="00040000" w:csb1="00000000"/>
    <w:embedRegular r:id="rId4" w:fontKey="{0C5F442C-9141-4527-ABC1-BEF052C54DB1}"/>
  </w:font>
  <w:font w:name="Helvetica">
    <w:altName w:val="Arial"/>
    <w:panose1 w:val="020B0604020202020204"/>
    <w:charset w:val="00"/>
    <w:family w:val="swiss"/>
    <w:pitch w:val="default"/>
    <w:sig w:usb0="00000000" w:usb1="00000000" w:usb2="00000000" w:usb3="00000000" w:csb0="00000001" w:csb1="00000000"/>
    <w:embedRegular r:id="rId5" w:fontKey="{33E4AD38-413A-4A44-9129-CF65E95F3CD2}"/>
  </w:font>
  <w:font w:name="仿宋">
    <w:panose1 w:val="02010609060101010101"/>
    <w:charset w:val="86"/>
    <w:family w:val="auto"/>
    <w:pitch w:val="default"/>
    <w:sig w:usb0="800002BF" w:usb1="38CF7CFA" w:usb2="00000016" w:usb3="00000000" w:csb0="00040001" w:csb1="00000000"/>
    <w:embedRegular r:id="rId6" w:fontKey="{66550C52-2460-478B-82A3-F7082A6FD543}"/>
  </w:font>
  <w:font w:name="WPSEMBED1">
    <w:panose1 w:val="02010609030101010101"/>
    <w:charset w:val="86"/>
    <w:family w:val="auto"/>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A608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6A9E3E0">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T2yWitIBAACiAwAADgAAAAAAAAABACAAAAAfAQAA&#10;ZHJzL2Uyb0RvYy54bWxQSwUGAAAAAAYABgBZAQAAYwUAAAAA&#10;">
              <v:fill on="f" focussize="0,0"/>
              <v:stroke on="f" weight="0.5pt"/>
              <v:imagedata o:title=""/>
              <o:lock v:ext="edit" aspectratio="f"/>
              <v:textbox inset="0mm,0mm,0mm,0mm" style="mso-fit-shape-to-text:t;">
                <w:txbxContent>
                  <w:p w14:paraId="06A9E3E0">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1C1BE68C"/>
    <w:multiLevelType w:val="singleLevel"/>
    <w:tmpl w:val="1C1BE68C"/>
    <w:lvl w:ilvl="0" w:tentative="0">
      <w:start w:val="1"/>
      <w:numFmt w:val="decimal"/>
      <w:suff w:val="nothing"/>
      <w:lvlText w:val="%1、"/>
      <w:lvlJc w:val="left"/>
    </w:lvl>
  </w:abstractNum>
  <w:abstractNum w:abstractNumId="4">
    <w:nsid w:val="24808933"/>
    <w:multiLevelType w:val="singleLevel"/>
    <w:tmpl w:val="24808933"/>
    <w:lvl w:ilvl="0" w:tentative="0">
      <w:start w:val="1"/>
      <w:numFmt w:val="chineseCounting"/>
      <w:suff w:val="nothing"/>
      <w:lvlText w:val="（%1）"/>
      <w:lvlJc w:val="left"/>
      <w:rPr>
        <w:rFonts w:hint="eastAsia"/>
        <w:strike w:val="0"/>
      </w:rPr>
    </w:lvl>
  </w:abstractNum>
  <w:abstractNum w:abstractNumId="5">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6">
    <w:nsid w:val="51BD9309"/>
    <w:multiLevelType w:val="singleLevel"/>
    <w:tmpl w:val="51BD9309"/>
    <w:lvl w:ilvl="0" w:tentative="0">
      <w:start w:val="3"/>
      <w:numFmt w:val="chineseCounting"/>
      <w:suff w:val="nothing"/>
      <w:lvlText w:val="（%1）"/>
      <w:lvlJc w:val="left"/>
      <w:rPr>
        <w:rFonts w:hint="eastAsia"/>
      </w:rPr>
    </w:lvl>
  </w:abstractNum>
  <w:num w:numId="1">
    <w:abstractNumId w:val="2"/>
  </w:num>
  <w:num w:numId="2">
    <w:abstractNumId w:val="3"/>
  </w:num>
  <w:num w:numId="3">
    <w:abstractNumId w:val="6"/>
  </w:num>
  <w:num w:numId="4">
    <w:abstractNumId w:val="1"/>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07A1658"/>
    <w:rsid w:val="01145609"/>
    <w:rsid w:val="01E23011"/>
    <w:rsid w:val="01E90844"/>
    <w:rsid w:val="024141DC"/>
    <w:rsid w:val="0332193F"/>
    <w:rsid w:val="03A83EC6"/>
    <w:rsid w:val="044C330C"/>
    <w:rsid w:val="046248DD"/>
    <w:rsid w:val="04CC48A5"/>
    <w:rsid w:val="04E8159A"/>
    <w:rsid w:val="05706B86"/>
    <w:rsid w:val="07724E37"/>
    <w:rsid w:val="078C6EA6"/>
    <w:rsid w:val="082A74C0"/>
    <w:rsid w:val="082C148A"/>
    <w:rsid w:val="08940DDD"/>
    <w:rsid w:val="09563087"/>
    <w:rsid w:val="0AC7549A"/>
    <w:rsid w:val="0ADA341F"/>
    <w:rsid w:val="0B27418B"/>
    <w:rsid w:val="0B845139"/>
    <w:rsid w:val="0B9E444D"/>
    <w:rsid w:val="0C654F6B"/>
    <w:rsid w:val="0C9E047D"/>
    <w:rsid w:val="0CAE11B1"/>
    <w:rsid w:val="0D2941EA"/>
    <w:rsid w:val="0D755681"/>
    <w:rsid w:val="0DB60CFB"/>
    <w:rsid w:val="0E032C8D"/>
    <w:rsid w:val="0E8A515C"/>
    <w:rsid w:val="0E8C4620"/>
    <w:rsid w:val="0EBE0962"/>
    <w:rsid w:val="0F45621F"/>
    <w:rsid w:val="0F9E7DA0"/>
    <w:rsid w:val="0FE32D76"/>
    <w:rsid w:val="10447EAA"/>
    <w:rsid w:val="11AE00FA"/>
    <w:rsid w:val="13E40E6B"/>
    <w:rsid w:val="15190FE8"/>
    <w:rsid w:val="15565D98"/>
    <w:rsid w:val="15EC3809"/>
    <w:rsid w:val="16124B55"/>
    <w:rsid w:val="163F682C"/>
    <w:rsid w:val="1673687F"/>
    <w:rsid w:val="168B18FA"/>
    <w:rsid w:val="16B4429C"/>
    <w:rsid w:val="16E573D4"/>
    <w:rsid w:val="16EA0953"/>
    <w:rsid w:val="171B2DF6"/>
    <w:rsid w:val="17A70B2D"/>
    <w:rsid w:val="183A35E1"/>
    <w:rsid w:val="1B6C6C42"/>
    <w:rsid w:val="1BA64381"/>
    <w:rsid w:val="1C36422E"/>
    <w:rsid w:val="1C7B60E4"/>
    <w:rsid w:val="1E1B192D"/>
    <w:rsid w:val="1E8F40C9"/>
    <w:rsid w:val="1F1840BF"/>
    <w:rsid w:val="1F2B3DF2"/>
    <w:rsid w:val="202E24B8"/>
    <w:rsid w:val="20557297"/>
    <w:rsid w:val="20C444FE"/>
    <w:rsid w:val="20E26732"/>
    <w:rsid w:val="2149055F"/>
    <w:rsid w:val="21751354"/>
    <w:rsid w:val="22771AD7"/>
    <w:rsid w:val="228A7081"/>
    <w:rsid w:val="236C6787"/>
    <w:rsid w:val="23AB3753"/>
    <w:rsid w:val="23AC639B"/>
    <w:rsid w:val="23E0439B"/>
    <w:rsid w:val="24FF3D57"/>
    <w:rsid w:val="268838D8"/>
    <w:rsid w:val="26914E82"/>
    <w:rsid w:val="26A12BEB"/>
    <w:rsid w:val="26BA6837"/>
    <w:rsid w:val="270E5359"/>
    <w:rsid w:val="27E3461F"/>
    <w:rsid w:val="283F26BC"/>
    <w:rsid w:val="292F2731"/>
    <w:rsid w:val="294001AA"/>
    <w:rsid w:val="29FA0F90"/>
    <w:rsid w:val="2B5B6396"/>
    <w:rsid w:val="2CC24314"/>
    <w:rsid w:val="2EBA6F40"/>
    <w:rsid w:val="2F6173BC"/>
    <w:rsid w:val="2FBE65BC"/>
    <w:rsid w:val="300C7328"/>
    <w:rsid w:val="301533B0"/>
    <w:rsid w:val="324C7EAF"/>
    <w:rsid w:val="32AF043E"/>
    <w:rsid w:val="32E620B2"/>
    <w:rsid w:val="332D7CE1"/>
    <w:rsid w:val="336A24F7"/>
    <w:rsid w:val="34AA6116"/>
    <w:rsid w:val="361678D4"/>
    <w:rsid w:val="361869CB"/>
    <w:rsid w:val="36280C33"/>
    <w:rsid w:val="3680281D"/>
    <w:rsid w:val="36A75FFC"/>
    <w:rsid w:val="36BB5604"/>
    <w:rsid w:val="374675C3"/>
    <w:rsid w:val="37AD13F0"/>
    <w:rsid w:val="3821593A"/>
    <w:rsid w:val="389425B0"/>
    <w:rsid w:val="38CC7F9C"/>
    <w:rsid w:val="38F96120"/>
    <w:rsid w:val="393A53ED"/>
    <w:rsid w:val="3981176F"/>
    <w:rsid w:val="39B90520"/>
    <w:rsid w:val="39E127E1"/>
    <w:rsid w:val="3A4D2A17"/>
    <w:rsid w:val="3A667F7C"/>
    <w:rsid w:val="3A6B10EF"/>
    <w:rsid w:val="3ADA4485"/>
    <w:rsid w:val="3C1504A5"/>
    <w:rsid w:val="3CCF1E09"/>
    <w:rsid w:val="3DC54FBA"/>
    <w:rsid w:val="3ED216D9"/>
    <w:rsid w:val="406B009A"/>
    <w:rsid w:val="407B3020"/>
    <w:rsid w:val="41704F33"/>
    <w:rsid w:val="41C9151C"/>
    <w:rsid w:val="41D34149"/>
    <w:rsid w:val="41DF4BEC"/>
    <w:rsid w:val="43574906"/>
    <w:rsid w:val="438F64E0"/>
    <w:rsid w:val="448160DE"/>
    <w:rsid w:val="44AD406E"/>
    <w:rsid w:val="45392515"/>
    <w:rsid w:val="45561319"/>
    <w:rsid w:val="45BE0C6C"/>
    <w:rsid w:val="45FF6E2A"/>
    <w:rsid w:val="47571378"/>
    <w:rsid w:val="477261B2"/>
    <w:rsid w:val="49521DF7"/>
    <w:rsid w:val="495C4A24"/>
    <w:rsid w:val="49F639D4"/>
    <w:rsid w:val="4A657908"/>
    <w:rsid w:val="4A687422"/>
    <w:rsid w:val="4A6F4C2B"/>
    <w:rsid w:val="4CA54934"/>
    <w:rsid w:val="4D094EC3"/>
    <w:rsid w:val="4D8409ED"/>
    <w:rsid w:val="4DB72B71"/>
    <w:rsid w:val="4E791BD4"/>
    <w:rsid w:val="4EFF199E"/>
    <w:rsid w:val="50BB6933"/>
    <w:rsid w:val="51087240"/>
    <w:rsid w:val="517F670C"/>
    <w:rsid w:val="51850890"/>
    <w:rsid w:val="523E7488"/>
    <w:rsid w:val="53163C4B"/>
    <w:rsid w:val="53DB6E8D"/>
    <w:rsid w:val="53E67D0C"/>
    <w:rsid w:val="54A2107A"/>
    <w:rsid w:val="551408A9"/>
    <w:rsid w:val="55A0213D"/>
    <w:rsid w:val="561F7505"/>
    <w:rsid w:val="572F5526"/>
    <w:rsid w:val="578E4942"/>
    <w:rsid w:val="58845F28"/>
    <w:rsid w:val="58CB5722"/>
    <w:rsid w:val="58DF4954"/>
    <w:rsid w:val="58FF53CC"/>
    <w:rsid w:val="59002D7E"/>
    <w:rsid w:val="59142C25"/>
    <w:rsid w:val="598B6C60"/>
    <w:rsid w:val="5A020223"/>
    <w:rsid w:val="5AD32876"/>
    <w:rsid w:val="5B3752F1"/>
    <w:rsid w:val="5B6A1223"/>
    <w:rsid w:val="5B9B13DC"/>
    <w:rsid w:val="5BF84746"/>
    <w:rsid w:val="5C0E6052"/>
    <w:rsid w:val="5C5322C6"/>
    <w:rsid w:val="5D1A6C78"/>
    <w:rsid w:val="5DA64068"/>
    <w:rsid w:val="5E425E33"/>
    <w:rsid w:val="5EC944B2"/>
    <w:rsid w:val="5F772160"/>
    <w:rsid w:val="60135604"/>
    <w:rsid w:val="601C4AB5"/>
    <w:rsid w:val="60310561"/>
    <w:rsid w:val="60DB227B"/>
    <w:rsid w:val="610F06F6"/>
    <w:rsid w:val="613227E3"/>
    <w:rsid w:val="61AD7D3C"/>
    <w:rsid w:val="624A590A"/>
    <w:rsid w:val="62D92ADC"/>
    <w:rsid w:val="633839B4"/>
    <w:rsid w:val="63A32D5E"/>
    <w:rsid w:val="63D657AA"/>
    <w:rsid w:val="64A05CB5"/>
    <w:rsid w:val="653603C7"/>
    <w:rsid w:val="65A17F37"/>
    <w:rsid w:val="672030DD"/>
    <w:rsid w:val="68B65AA7"/>
    <w:rsid w:val="690D143F"/>
    <w:rsid w:val="69301DD3"/>
    <w:rsid w:val="69B0699A"/>
    <w:rsid w:val="69E71C90"/>
    <w:rsid w:val="69FA5E67"/>
    <w:rsid w:val="6B2A277C"/>
    <w:rsid w:val="6BEA3CBA"/>
    <w:rsid w:val="6C186A79"/>
    <w:rsid w:val="6EC46A44"/>
    <w:rsid w:val="6EE15C81"/>
    <w:rsid w:val="6EF54E4F"/>
    <w:rsid w:val="6EF81C00"/>
    <w:rsid w:val="70AB7EBB"/>
    <w:rsid w:val="722A19D8"/>
    <w:rsid w:val="72FD2525"/>
    <w:rsid w:val="734B3290"/>
    <w:rsid w:val="734D525A"/>
    <w:rsid w:val="7380441B"/>
    <w:rsid w:val="74055B36"/>
    <w:rsid w:val="74D3353D"/>
    <w:rsid w:val="750D1C16"/>
    <w:rsid w:val="7517506E"/>
    <w:rsid w:val="75545F0B"/>
    <w:rsid w:val="75A629FF"/>
    <w:rsid w:val="75ED062E"/>
    <w:rsid w:val="76426BCC"/>
    <w:rsid w:val="772938E8"/>
    <w:rsid w:val="78FE2B52"/>
    <w:rsid w:val="795D3D1D"/>
    <w:rsid w:val="79F91C98"/>
    <w:rsid w:val="79FD2E0A"/>
    <w:rsid w:val="7A0847C2"/>
    <w:rsid w:val="7A15284A"/>
    <w:rsid w:val="7A3D3C8C"/>
    <w:rsid w:val="7AE42206"/>
    <w:rsid w:val="7CEE331F"/>
    <w:rsid w:val="7D9F66B2"/>
    <w:rsid w:val="7E5971A9"/>
    <w:rsid w:val="7E5E656D"/>
    <w:rsid w:val="7ED93E46"/>
    <w:rsid w:val="7F1906E6"/>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 w:type="paragraph" w:customStyle="1" w:styleId="18">
    <w:name w:val="正文缩进1"/>
    <w:basedOn w:val="1"/>
    <w:qFormat/>
    <w:uiPriority w:val="0"/>
    <w:pPr>
      <w:ind w:firstLine="420" w:firstLineChars="200"/>
    </w:pPr>
    <w:rPr>
      <w:rFonts w:eastAsia="宋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9364</Words>
  <Characters>9640</Characters>
  <Lines>0</Lines>
  <Paragraphs>0</Paragraphs>
  <TotalTime>0</TotalTime>
  <ScaleCrop>false</ScaleCrop>
  <LinksUpToDate>false</LinksUpToDate>
  <CharactersWithSpaces>10130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2026-05-18T02:17:44Z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